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1D251" w14:textId="635A9668" w:rsidR="00013170" w:rsidRPr="00550362" w:rsidRDefault="008B7F90" w:rsidP="00013170">
      <w:pPr>
        <w:pStyle w:val="01NomTakaclient"/>
        <w:keepLines/>
        <w:spacing w:after="720"/>
        <w:rPr>
          <w:rFonts w:ascii="Arial Gras" w:hAnsi="Arial Gras"/>
          <w:caps/>
        </w:rPr>
      </w:pPr>
      <w:bookmarkStart w:id="0" w:name="_Hlk29826588"/>
      <w:bookmarkStart w:id="1" w:name="_Hlk37053023"/>
      <w:r>
        <w:rPr>
          <w:rFonts w:ascii="Arial Gras" w:hAnsi="Arial Gras"/>
          <w:caps/>
        </w:rPr>
        <w:t>Le Sénat</w:t>
      </w:r>
    </w:p>
    <w:bookmarkEnd w:id="0"/>
    <w:p w14:paraId="271A86B5" w14:textId="1CB64BE0" w:rsidR="003516FC" w:rsidRPr="00013170" w:rsidRDefault="00013170" w:rsidP="0096560A">
      <w:pPr>
        <w:pStyle w:val="02Nomdulot"/>
        <w:keepLines/>
        <w:spacing w:before="600" w:after="60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5FFFEFF7" w14:textId="539ECB4D" w:rsidR="008B7F90" w:rsidRDefault="008B7F90" w:rsidP="0096560A">
      <w:pPr>
        <w:pStyle w:val="03Numlot"/>
        <w:keepLines/>
        <w:spacing w:before="240" w:after="240"/>
        <w:ind w:right="0"/>
      </w:pPr>
      <w:r>
        <w:rPr>
          <w:noProof/>
        </w:rPr>
        <w:drawing>
          <wp:inline distT="0" distB="0" distL="0" distR="0" wp14:anchorId="0DEA2B35" wp14:editId="6B8848BF">
            <wp:extent cx="1294765" cy="1294765"/>
            <wp:effectExtent l="0" t="0" r="635" b="635"/>
            <wp:docPr id="3" name="Image 3" descr="Des sénateurs auraient détourné 400 000 euros !"/>
            <wp:cNvGraphicFramePr/>
            <a:graphic xmlns:a="http://schemas.openxmlformats.org/drawingml/2006/main">
              <a:graphicData uri="http://schemas.openxmlformats.org/drawingml/2006/picture">
                <pic:pic xmlns:pic="http://schemas.openxmlformats.org/drawingml/2006/picture">
                  <pic:nvPicPr>
                    <pic:cNvPr id="3" name="Image 3" descr="Des sénateurs auraient détourné 400 000 euros !"/>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inline>
        </w:drawing>
      </w:r>
    </w:p>
    <w:p w14:paraId="285DBB0B" w14:textId="16554334" w:rsidR="00F355C9" w:rsidRPr="00DA3C10" w:rsidRDefault="00F355C9" w:rsidP="0096560A">
      <w:pPr>
        <w:pStyle w:val="03Numlot"/>
        <w:keepLines/>
        <w:spacing w:before="360" w:after="480"/>
        <w:ind w:right="0"/>
        <w:rPr>
          <w:b/>
        </w:rPr>
      </w:pPr>
      <w:r w:rsidRPr="00F355C9">
        <w:t>LOT N</w:t>
      </w:r>
      <w:r w:rsidRPr="00DA3C10">
        <w:rPr>
          <w:b/>
        </w:rPr>
        <w:t xml:space="preserve">° </w:t>
      </w:r>
      <w:r w:rsidR="00675661">
        <w:rPr>
          <w:b/>
        </w:rPr>
        <w:t>2</w:t>
      </w:r>
    </w:p>
    <w:p w14:paraId="27C5BBB8" w14:textId="150A5089" w:rsidR="00335E0A" w:rsidRPr="00E13FF2" w:rsidRDefault="00335E0A" w:rsidP="0096560A">
      <w:pPr>
        <w:pStyle w:val="Corpsdetexte2"/>
        <w:keepLines/>
        <w:spacing w:after="60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2"/>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46784E35" w14:textId="64829587" w:rsidR="00E61610" w:rsidRPr="00550362" w:rsidRDefault="008B7F90" w:rsidP="00E61610">
      <w:pPr>
        <w:pStyle w:val="01NomTakaclient"/>
        <w:keepLines/>
        <w:spacing w:after="720"/>
        <w:rPr>
          <w:rFonts w:ascii="Arial Gras" w:hAnsi="Arial Gras"/>
          <w:caps/>
        </w:rPr>
      </w:pPr>
      <w:r>
        <w:rPr>
          <w:rFonts w:ascii="Arial Gras" w:hAnsi="Arial Gras"/>
          <w:caps/>
        </w:rPr>
        <w:lastRenderedPageBreak/>
        <w:t>Le Sénat</w:t>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17E75A5A" w:rsidR="00D06A2A" w:rsidRPr="003516FC" w:rsidRDefault="00D06A2A" w:rsidP="00FF550B">
      <w:pPr>
        <w:pStyle w:val="03Numlot"/>
        <w:keepLines/>
        <w:ind w:right="0"/>
      </w:pPr>
      <w:r w:rsidRPr="003516FC">
        <w:t xml:space="preserve">LOT N° </w:t>
      </w:r>
      <w:r w:rsidR="00B41F44" w:rsidRPr="00B41F44">
        <w:rPr>
          <w:b/>
          <w:szCs w:val="40"/>
        </w:rPr>
        <w:t>2</w:t>
      </w:r>
    </w:p>
    <w:p w14:paraId="3C5543A2" w14:textId="77777777"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p>
    <w:p w14:paraId="2F2FFC4A" w14:textId="2E8232B2"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9BF505E"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377E17E6" w14:textId="77777777" w:rsidR="00893EE9" w:rsidRPr="00073E3B" w:rsidRDefault="00893EE9" w:rsidP="00893EE9">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5E2DC904" w:rsidR="00EA4664" w:rsidRDefault="00D06A2A" w:rsidP="00BD6450">
      <w:pPr>
        <w:keepLines/>
        <w:widowControl w:val="0"/>
        <w:spacing w:before="240"/>
        <w:jc w:val="both"/>
        <w:rPr>
          <w:szCs w:val="22"/>
        </w:rPr>
      </w:pPr>
      <w:r w:rsidRPr="002F0365">
        <w:rPr>
          <w:szCs w:val="22"/>
        </w:rPr>
        <w:t xml:space="preserve">L'offre ainsi présentée ne me lie toutefois que si son acceptation m'est notifiée dans un délai de </w:t>
      </w:r>
      <w:r w:rsidR="00AD156D" w:rsidRPr="002F0365">
        <w:rPr>
          <w:b/>
          <w:szCs w:val="22"/>
        </w:rPr>
        <w:t>6 mois</w:t>
      </w:r>
      <w:r w:rsidRPr="002F0365">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4325B89F" w14:textId="77777777" w:rsidR="00FD51FA" w:rsidRPr="00073E3B" w:rsidRDefault="00FD51FA" w:rsidP="00FD51FA">
      <w:pPr>
        <w:pStyle w:val="06-TitreARTICLEAE"/>
        <w:keepLines/>
        <w:rPr>
          <w:caps/>
        </w:rPr>
      </w:pPr>
      <w:bookmarkStart w:id="9" w:name="_Hlk29475702"/>
      <w:bookmarkStart w:id="10" w:name="_Hlk37053104"/>
      <w:bookmarkEnd w:id="6"/>
      <w:r w:rsidRPr="00073E3B">
        <w:rPr>
          <w:caps/>
        </w:rPr>
        <w:lastRenderedPageBreak/>
        <w:t>Durée du marché</w:t>
      </w:r>
    </w:p>
    <w:p w14:paraId="192887B4" w14:textId="684F5883" w:rsidR="00FD51FA" w:rsidRPr="0060769F" w:rsidRDefault="00FD51FA" w:rsidP="00FD51FA">
      <w:pPr>
        <w:keepLines/>
        <w:widowControl w:val="0"/>
        <w:spacing w:before="240"/>
        <w:jc w:val="both"/>
        <w:rPr>
          <w:szCs w:val="22"/>
        </w:rPr>
      </w:pPr>
      <w:r w:rsidRPr="0060769F">
        <w:rPr>
          <w:szCs w:val="22"/>
        </w:rPr>
        <w:t xml:space="preserve">Le marché est conclu </w:t>
      </w:r>
      <w:r w:rsidRPr="002F0365">
        <w:rPr>
          <w:szCs w:val="22"/>
        </w:rPr>
        <w:t xml:space="preserve">pour une durée de </w:t>
      </w:r>
      <w:r w:rsidR="00E137BA">
        <w:rPr>
          <w:b/>
          <w:szCs w:val="22"/>
        </w:rPr>
        <w:t>4</w:t>
      </w:r>
      <w:r w:rsidRPr="002F0365">
        <w:rPr>
          <w:b/>
          <w:szCs w:val="22"/>
        </w:rPr>
        <w:t xml:space="preserve"> ans </w:t>
      </w:r>
      <w:r w:rsidRPr="002F0365">
        <w:rPr>
          <w:szCs w:val="22"/>
        </w:rPr>
        <w:t xml:space="preserve">à compter du </w:t>
      </w:r>
      <w:r w:rsidRPr="002F0365">
        <w:rPr>
          <w:b/>
          <w:szCs w:val="22"/>
        </w:rPr>
        <w:t>1</w:t>
      </w:r>
      <w:r w:rsidRPr="002F0365">
        <w:rPr>
          <w:b/>
          <w:szCs w:val="22"/>
          <w:vertAlign w:val="superscript"/>
        </w:rPr>
        <w:t>er</w:t>
      </w:r>
      <w:r w:rsidRPr="002F0365">
        <w:rPr>
          <w:b/>
          <w:szCs w:val="22"/>
        </w:rPr>
        <w:t xml:space="preserve"> janvier 2026</w:t>
      </w:r>
      <w:r w:rsidRPr="002F0365">
        <w:rPr>
          <w:szCs w:val="22"/>
        </w:rPr>
        <w:t xml:space="preserve"> avec possibilité de résiliation annuelle du contrat pour les deux parties sous préavis de </w:t>
      </w:r>
      <w:r w:rsidRPr="002F0365">
        <w:rPr>
          <w:b/>
          <w:bCs/>
          <w:szCs w:val="22"/>
        </w:rPr>
        <w:t>6 mois</w:t>
      </w:r>
      <w:r w:rsidRPr="002F0365">
        <w:rPr>
          <w:szCs w:val="22"/>
        </w:rPr>
        <w:t xml:space="preserve"> avant l'échéance du </w:t>
      </w:r>
      <w:r w:rsidRPr="002F0365">
        <w:rPr>
          <w:b/>
          <w:bCs/>
          <w:szCs w:val="22"/>
        </w:rPr>
        <w:t>1</w:t>
      </w:r>
      <w:r w:rsidRPr="002F0365">
        <w:rPr>
          <w:b/>
          <w:bCs/>
          <w:szCs w:val="22"/>
          <w:vertAlign w:val="superscript"/>
        </w:rPr>
        <w:t>er</w:t>
      </w:r>
      <w:r w:rsidRPr="002F0365">
        <w:rPr>
          <w:b/>
          <w:bCs/>
          <w:szCs w:val="22"/>
        </w:rPr>
        <w:t xml:space="preserve"> janvier</w:t>
      </w:r>
      <w:r w:rsidR="000D134C" w:rsidRPr="000D134C">
        <w:rPr>
          <w:szCs w:val="22"/>
        </w:rPr>
        <w:t xml:space="preserve"> </w:t>
      </w:r>
      <w:r w:rsidR="000D134C" w:rsidRPr="007104DF">
        <w:rPr>
          <w:szCs w:val="22"/>
        </w:rPr>
        <w:t>par lettre recommandée avec demande d’avis de réception</w:t>
      </w:r>
      <w:r w:rsidRPr="002F0365">
        <w:rPr>
          <w:szCs w:val="22"/>
        </w:rPr>
        <w:t>.</w:t>
      </w:r>
      <w:r>
        <w:rPr>
          <w:szCs w:val="22"/>
        </w:rPr>
        <w:t xml:space="preserve"> </w:t>
      </w:r>
    </w:p>
    <w:p w14:paraId="42EAB2FF" w14:textId="77777777" w:rsidR="00FD51FA" w:rsidRPr="00073E3B" w:rsidRDefault="00FD51FA" w:rsidP="00FD51FA">
      <w:pPr>
        <w:pStyle w:val="06-TitreARTICLEAE"/>
        <w:keepLines/>
        <w:rPr>
          <w:caps/>
        </w:rPr>
      </w:pPr>
      <w:bookmarkStart w:id="11" w:name="_Hlk29476951"/>
      <w:bookmarkStart w:id="12" w:name="_Hlk37053122"/>
      <w:bookmarkEnd w:id="9"/>
      <w:bookmarkEnd w:id="10"/>
      <w:r w:rsidRPr="00073E3B">
        <w:rPr>
          <w:caps/>
        </w:rPr>
        <w:t>Paiements</w:t>
      </w:r>
    </w:p>
    <w:p w14:paraId="40E1B9BA" w14:textId="77777777" w:rsidR="00FD51FA" w:rsidRPr="005577D1" w:rsidRDefault="00FD51FA" w:rsidP="00FD51FA">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2E9EED49" w14:textId="77777777" w:rsidR="00FD51FA" w:rsidRPr="00CB08F9" w:rsidRDefault="00FD51FA" w:rsidP="00FD51FA">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2201E5C2" w14:textId="77777777" w:rsidR="00FD51FA" w:rsidRPr="0060769F" w:rsidRDefault="00FD51FA" w:rsidP="00FD51FA">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3DD80DF5" w14:textId="77777777" w:rsidR="00FD51FA" w:rsidRPr="0060769F"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249C389D" w14:textId="77777777" w:rsidR="00FD51FA" w:rsidRPr="0060769F"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183492E3" w14:textId="77777777" w:rsidR="00FD51FA" w:rsidRDefault="00FD51FA" w:rsidP="00FD51FA">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33F3DC9E" w14:textId="436489EF" w:rsidR="00FD51FA" w:rsidRDefault="00FD51FA" w:rsidP="00FD51FA">
      <w:pPr>
        <w:keepLines/>
        <w:widowControl w:val="0"/>
        <w:spacing w:before="240"/>
        <w:jc w:val="both"/>
        <w:rPr>
          <w:szCs w:val="22"/>
        </w:rPr>
      </w:pPr>
      <w:bookmarkStart w:id="13" w:name="_Hlk29479531"/>
      <w:r>
        <w:rPr>
          <w:szCs w:val="22"/>
        </w:rPr>
        <w:t xml:space="preserve">N° SIRET du candidat qui sera utilisé pour déposer la facture </w:t>
      </w:r>
      <w:r w:rsidR="000B6BB4">
        <w:rPr>
          <w:szCs w:val="22"/>
        </w:rPr>
        <w:t>sur la plateforme dédiée</w:t>
      </w:r>
      <w:r>
        <w:rPr>
          <w:szCs w:val="22"/>
        </w:rPr>
        <w:t xml:space="preserve"> :</w:t>
      </w:r>
    </w:p>
    <w:p w14:paraId="2D635E2F" w14:textId="77777777" w:rsidR="00FD51FA" w:rsidRDefault="00FD51FA" w:rsidP="00FD51FA">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5821012C" w14:textId="77777777" w:rsidR="00FD51FA" w:rsidRPr="0060769F" w:rsidRDefault="00FD51FA" w:rsidP="00FD51FA">
      <w:pPr>
        <w:keepLines/>
        <w:widowControl w:val="0"/>
        <w:spacing w:before="240"/>
        <w:jc w:val="both"/>
        <w:rPr>
          <w:szCs w:val="22"/>
        </w:rPr>
      </w:pPr>
      <w:r>
        <w:rPr>
          <w:szCs w:val="22"/>
        </w:rPr>
        <w:t>L'unité monétaire d'exécution des prestations et de tous les actes qui en découlent est l'euro.</w:t>
      </w:r>
    </w:p>
    <w:p w14:paraId="0536D57F" w14:textId="77777777" w:rsidR="00FD51FA" w:rsidRPr="0060769F" w:rsidRDefault="00FD51FA" w:rsidP="00FD51FA">
      <w:pPr>
        <w:keepLines/>
        <w:widowControl w:val="0"/>
        <w:spacing w:before="240" w:after="240"/>
        <w:jc w:val="both"/>
        <w:rPr>
          <w:szCs w:val="22"/>
        </w:rPr>
      </w:pPr>
      <w:r w:rsidRPr="0060769F">
        <w:rPr>
          <w:szCs w:val="22"/>
        </w:rPr>
        <w:t xml:space="preserve">Le paiement s'effectuera par </w:t>
      </w:r>
      <w:r w:rsidRPr="0096560A">
        <w:rPr>
          <w:szCs w:val="22"/>
        </w:rPr>
        <w:t>virement administratif et</w:t>
      </w:r>
      <w:r w:rsidRPr="0060769F">
        <w:rPr>
          <w:szCs w:val="22"/>
        </w:rPr>
        <w:t xml:space="preserve">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EE339D">
        <w:trPr>
          <w:trHeight w:val="1288"/>
        </w:trPr>
        <w:tc>
          <w:tcPr>
            <w:tcW w:w="9072" w:type="dxa"/>
            <w:shd w:val="clear" w:color="auto" w:fill="auto"/>
            <w:vAlign w:val="center"/>
          </w:tcPr>
          <w:p w14:paraId="23A91AD1" w14:textId="059AFE5F" w:rsidR="00FD51FA" w:rsidRPr="00451B2E" w:rsidRDefault="00FD51FA" w:rsidP="00EE339D">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EE339D" w:rsidRPr="00C54A8A">
              <w:rPr>
                <w:b/>
                <w:bCs/>
                <w:color w:val="FF0000"/>
              </w:rPr>
              <w:t xml:space="preserve"> </w:t>
            </w:r>
          </w:p>
          <w:p w14:paraId="297687D0" w14:textId="77777777" w:rsidR="00FD51FA" w:rsidRPr="00451B2E" w:rsidRDefault="00FD51FA" w:rsidP="00FD51FA">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344FFC4" w14:textId="77777777" w:rsidR="00FD51FA" w:rsidRPr="00451B2E" w:rsidRDefault="00FD51FA" w:rsidP="00EE339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914EDCD" w14:textId="77777777" w:rsidR="00FD51FA" w:rsidRPr="00451B2E" w:rsidRDefault="00FD51FA" w:rsidP="00EE339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180E789A" w14:textId="77777777" w:rsidR="00FD51FA" w:rsidRPr="00073E3B" w:rsidRDefault="00FD51FA" w:rsidP="00FD51FA">
      <w:pPr>
        <w:pStyle w:val="06-TitreARTICLEAE"/>
        <w:keepLines/>
        <w:rPr>
          <w:caps/>
        </w:rPr>
      </w:pPr>
      <w:r w:rsidRPr="00073E3B">
        <w:rPr>
          <w:caps/>
        </w:rPr>
        <w:t xml:space="preserve">Pièces constitutives du marché </w:t>
      </w:r>
    </w:p>
    <w:p w14:paraId="7E355FDE" w14:textId="77777777" w:rsidR="00FD51FA" w:rsidRPr="004E2628" w:rsidRDefault="00FD51FA" w:rsidP="00FD51FA">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AB9EE3" w:rsidR="00EA4664" w:rsidRPr="00EA4664"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3EA971D" w:rsidR="00D06A2A" w:rsidRPr="00893EE9" w:rsidRDefault="00893EE9" w:rsidP="00BD6450">
      <w:pPr>
        <w:pStyle w:val="06-TitreARTICLEAE"/>
        <w:keepLines/>
        <w:rPr>
          <w:caps/>
        </w:rPr>
      </w:pPr>
      <w:r w:rsidRPr="00893EE9">
        <w:rPr>
          <w:caps/>
        </w:rPr>
        <w:lastRenderedPageBreak/>
        <w:t>Offre financière</w:t>
      </w:r>
    </w:p>
    <w:p w14:paraId="77B8437C" w14:textId="5B4FBC81" w:rsidR="00764556" w:rsidRPr="002F0365" w:rsidRDefault="00764556" w:rsidP="00764556">
      <w:pPr>
        <w:keepLines/>
        <w:widowControl w:val="0"/>
        <w:tabs>
          <w:tab w:val="left" w:pos="1728"/>
        </w:tabs>
        <w:spacing w:before="240"/>
        <w:jc w:val="both"/>
        <w:rPr>
          <w:bCs/>
          <w:szCs w:val="16"/>
        </w:rPr>
      </w:pPr>
      <w:bookmarkStart w:id="16" w:name="_Hlk37053141"/>
      <w:r w:rsidRPr="0003707A">
        <w:rPr>
          <w:bCs/>
          <w:szCs w:val="16"/>
        </w:rPr>
        <w:t xml:space="preserve">La </w:t>
      </w:r>
      <w:r w:rsidRPr="00764556">
        <w:rPr>
          <w:szCs w:val="22"/>
        </w:rPr>
        <w:t>réponse</w:t>
      </w:r>
      <w:r w:rsidRPr="0003707A">
        <w:rPr>
          <w:bCs/>
          <w:szCs w:val="16"/>
        </w:rPr>
        <w:t xml:space="preserve"> à l'offre </w:t>
      </w:r>
      <w:r w:rsidRPr="002F0365">
        <w:rPr>
          <w:bCs/>
          <w:szCs w:val="16"/>
        </w:rPr>
        <w:t>de base</w:t>
      </w:r>
      <w:r w:rsidR="004B6F42" w:rsidRPr="002F0365">
        <w:rPr>
          <w:bCs/>
          <w:szCs w:val="16"/>
        </w:rPr>
        <w:t xml:space="preserve"> ainsi qu’à la prestation supplémentaire éventuelle </w:t>
      </w:r>
      <w:r w:rsidRPr="002F0365">
        <w:rPr>
          <w:bCs/>
          <w:szCs w:val="16"/>
        </w:rPr>
        <w:t>est obligatoire.</w:t>
      </w:r>
    </w:p>
    <w:p w14:paraId="2B52AAB0" w14:textId="2D64C88E" w:rsidR="00764556" w:rsidRPr="0003707A" w:rsidRDefault="00764556" w:rsidP="00764556">
      <w:pPr>
        <w:keepLines/>
        <w:widowControl w:val="0"/>
        <w:tabs>
          <w:tab w:val="left" w:pos="1728"/>
        </w:tabs>
        <w:spacing w:before="240"/>
        <w:jc w:val="both"/>
        <w:rPr>
          <w:bCs/>
          <w:szCs w:val="16"/>
        </w:rPr>
      </w:pPr>
      <w:r w:rsidRPr="002F0365">
        <w:rPr>
          <w:bCs/>
          <w:szCs w:val="16"/>
        </w:rPr>
        <w:t xml:space="preserve">La non-réponse du </w:t>
      </w:r>
      <w:r w:rsidRPr="002F0365">
        <w:rPr>
          <w:bCs/>
          <w:szCs w:val="22"/>
        </w:rPr>
        <w:t>candidat</w:t>
      </w:r>
      <w:r w:rsidRPr="002F0365">
        <w:rPr>
          <w:bCs/>
          <w:szCs w:val="16"/>
        </w:rPr>
        <w:t xml:space="preserve"> à l'offre de base </w:t>
      </w:r>
      <w:r w:rsidR="00FC4A21" w:rsidRPr="002F0365">
        <w:rPr>
          <w:bCs/>
          <w:szCs w:val="16"/>
        </w:rPr>
        <w:t>ou</w:t>
      </w:r>
      <w:r w:rsidRPr="002F0365">
        <w:rPr>
          <w:bCs/>
          <w:szCs w:val="16"/>
        </w:rPr>
        <w:t xml:space="preserve"> </w:t>
      </w:r>
      <w:r w:rsidR="004B6F42" w:rsidRPr="002F0365">
        <w:rPr>
          <w:bCs/>
          <w:szCs w:val="16"/>
        </w:rPr>
        <w:t xml:space="preserve">à la prestation supplémentaire éventuelle </w:t>
      </w:r>
      <w:r w:rsidRPr="002F0365">
        <w:rPr>
          <w:bCs/>
          <w:szCs w:val="16"/>
        </w:rPr>
        <w:t xml:space="preserve">entraînera </w:t>
      </w:r>
      <w:r w:rsidRPr="002F0365">
        <w:rPr>
          <w:szCs w:val="22"/>
        </w:rPr>
        <w:t>l'irrégularité</w:t>
      </w:r>
      <w:r w:rsidRPr="002F0365">
        <w:rPr>
          <w:bCs/>
          <w:szCs w:val="16"/>
        </w:rPr>
        <w:t xml:space="preserve"> de son offre.</w:t>
      </w:r>
    </w:p>
    <w:p w14:paraId="2BB459B1" w14:textId="77777777" w:rsidR="00764556" w:rsidRPr="0003707A" w:rsidRDefault="00764556" w:rsidP="009524A8">
      <w:pPr>
        <w:keepLines/>
        <w:widowControl w:val="0"/>
        <w:tabs>
          <w:tab w:val="left" w:pos="1728"/>
        </w:tabs>
        <w:spacing w:before="240" w:after="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bookmarkEnd w:id="16"/>
    <w:p w14:paraId="11C77CBF" w14:textId="0AD1CE19" w:rsidR="00764556" w:rsidRPr="002F0365" w:rsidRDefault="00FD13CA" w:rsidP="003B6B34">
      <w:pPr>
        <w:pStyle w:val="08Titre11-"/>
      </w:pPr>
      <w:r w:rsidRPr="002F0365">
        <w:fldChar w:fldCharType="begin"/>
      </w:r>
      <w:r w:rsidRPr="002F0365">
        <w:instrText xml:space="preserve"> HYPERLINK "file:///C:\\Users\\ro.houdayer\\AppData\\Roaming\\Visiativ\\MoovappsDocument\\Tmp\\002-APP%20BASE%20VILLE%20CP%20DOMMAGES%20AUX%20BIENS%20(aoo).doc" \l "Franchises" </w:instrText>
      </w:r>
      <w:r w:rsidRPr="002F0365">
        <w:fldChar w:fldCharType="separate"/>
      </w:r>
      <w:r w:rsidR="00D06A2A" w:rsidRPr="002F0365">
        <w:rPr>
          <w:rStyle w:val="Lienhypertexte"/>
          <w:color w:val="436E91"/>
        </w:rPr>
        <w:t>Offre de base</w:t>
      </w:r>
      <w:r w:rsidRPr="002F0365">
        <w:rPr>
          <w:rStyle w:val="Lienhypertexte"/>
          <w:color w:val="436E91"/>
        </w:rPr>
        <w:fldChar w:fldCharType="end"/>
      </w:r>
      <w:r w:rsidR="00764556" w:rsidRPr="002F0365">
        <w:rPr>
          <w:rStyle w:val="Lienhypertexte"/>
          <w:color w:val="436E91"/>
        </w:rPr>
        <w:t xml:space="preserve"> - </w:t>
      </w:r>
      <w:r w:rsidR="00764556" w:rsidRPr="002F0365">
        <w:t>Assurance « </w:t>
      </w:r>
      <w:r w:rsidR="00EE3024" w:rsidRPr="002F0365">
        <w:t>r</w:t>
      </w:r>
      <w:r w:rsidR="00764556" w:rsidRPr="002F0365">
        <w:t>esponsabilité générale et risques annexe</w:t>
      </w:r>
      <w:r w:rsidR="00EE3024" w:rsidRPr="002F0365">
        <w:t>s</w:t>
      </w:r>
      <w:r w:rsidR="00764556" w:rsidRPr="002F0365">
        <w:t> »</w:t>
      </w:r>
    </w:p>
    <w:p w14:paraId="3EFF3759" w14:textId="11BB4A58" w:rsidR="003F3126" w:rsidRPr="002F0365" w:rsidRDefault="003F3126" w:rsidP="00764556">
      <w:pPr>
        <w:keepLines/>
        <w:widowControl w:val="0"/>
        <w:tabs>
          <w:tab w:val="left" w:pos="1728"/>
        </w:tabs>
        <w:spacing w:before="240"/>
        <w:jc w:val="both"/>
        <w:rPr>
          <w:szCs w:val="22"/>
        </w:rPr>
      </w:pPr>
      <w:bookmarkStart w:id="17" w:name="_Hlk37053169"/>
      <w:r w:rsidRPr="002F0365">
        <w:rPr>
          <w:szCs w:val="18"/>
        </w:rPr>
        <w:t>Le prix est forfaitaire et non révisable</w:t>
      </w:r>
      <w:r w:rsidR="00CB6AB8">
        <w:rPr>
          <w:szCs w:val="18"/>
        </w:rPr>
        <w:t>.</w:t>
      </w:r>
    </w:p>
    <w:p w14:paraId="390CC69B" w14:textId="202FA136" w:rsidR="00DD5574" w:rsidRPr="002F0365" w:rsidRDefault="00DD5574" w:rsidP="00645F58">
      <w:pPr>
        <w:spacing w:before="240"/>
      </w:pPr>
      <w:r w:rsidRPr="002F0365">
        <w:t>Il ne sera pas appliqué de franchise sauf dans les cas suivants :</w:t>
      </w:r>
    </w:p>
    <w:p w14:paraId="04AE2317" w14:textId="132EB52E" w:rsidR="002F0365" w:rsidRPr="002F0365" w:rsidRDefault="002F0365" w:rsidP="00CF6571">
      <w:pPr>
        <w:pStyle w:val="Paragraphedeliste"/>
        <w:keepLines/>
        <w:widowControl w:val="0"/>
        <w:numPr>
          <w:ilvl w:val="0"/>
          <w:numId w:val="14"/>
        </w:numPr>
        <w:tabs>
          <w:tab w:val="left" w:pos="284"/>
        </w:tabs>
        <w:spacing w:before="40"/>
        <w:ind w:left="284" w:hanging="284"/>
        <w:jc w:val="both"/>
        <w:rPr>
          <w:b/>
          <w:szCs w:val="22"/>
        </w:rPr>
      </w:pPr>
      <w:proofErr w:type="gramStart"/>
      <w:r>
        <w:rPr>
          <w:bCs/>
          <w:szCs w:val="22"/>
        </w:rPr>
        <w:t>d</w:t>
      </w:r>
      <w:r w:rsidRPr="002F0365">
        <w:rPr>
          <w:bCs/>
          <w:szCs w:val="22"/>
        </w:rPr>
        <w:t>ommages</w:t>
      </w:r>
      <w:proofErr w:type="gramEnd"/>
      <w:r w:rsidRPr="002F0365">
        <w:rPr>
          <w:bCs/>
          <w:szCs w:val="22"/>
        </w:rPr>
        <w:t xml:space="preserve"> matériels et immatériels consécutifs : </w:t>
      </w:r>
      <w:r w:rsidRPr="002F0365">
        <w:rPr>
          <w:b/>
          <w:szCs w:val="22"/>
        </w:rPr>
        <w:t>1 500 €</w:t>
      </w:r>
    </w:p>
    <w:p w14:paraId="4E8B1C2F" w14:textId="237CC569" w:rsidR="00DD5574" w:rsidRPr="002F0365" w:rsidRDefault="00DD5574" w:rsidP="00CF6571">
      <w:pPr>
        <w:pStyle w:val="Paragraphedeliste"/>
        <w:keepLines/>
        <w:widowControl w:val="0"/>
        <w:numPr>
          <w:ilvl w:val="0"/>
          <w:numId w:val="14"/>
        </w:numPr>
        <w:tabs>
          <w:tab w:val="left" w:pos="284"/>
        </w:tabs>
        <w:spacing w:before="40"/>
        <w:ind w:left="284" w:hanging="284"/>
        <w:jc w:val="both"/>
        <w:rPr>
          <w:b/>
          <w:szCs w:val="22"/>
        </w:rPr>
      </w:pPr>
      <w:proofErr w:type="gramStart"/>
      <w:r w:rsidRPr="002F0365">
        <w:rPr>
          <w:bCs/>
          <w:szCs w:val="22"/>
        </w:rPr>
        <w:t>dommages</w:t>
      </w:r>
      <w:proofErr w:type="gramEnd"/>
      <w:r w:rsidRPr="002F0365">
        <w:rPr>
          <w:bCs/>
          <w:szCs w:val="22"/>
        </w:rPr>
        <w:t xml:space="preserve"> immatériels non consécutifs :</w:t>
      </w:r>
      <w:r w:rsidRPr="002F0365">
        <w:rPr>
          <w:b/>
          <w:szCs w:val="22"/>
        </w:rPr>
        <w:t xml:space="preserve"> 10 % </w:t>
      </w:r>
      <w:r w:rsidRPr="002F0365">
        <w:rPr>
          <w:bCs/>
          <w:szCs w:val="22"/>
        </w:rPr>
        <w:t>du montant du sinistre, avec un minimum de</w:t>
      </w:r>
      <w:r w:rsidRPr="002F0365">
        <w:rPr>
          <w:b/>
          <w:szCs w:val="22"/>
        </w:rPr>
        <w:t xml:space="preserve"> 750 € </w:t>
      </w:r>
      <w:r w:rsidRPr="002F0365">
        <w:rPr>
          <w:bCs/>
          <w:szCs w:val="22"/>
        </w:rPr>
        <w:t>et un maximum de</w:t>
      </w:r>
      <w:r w:rsidRPr="002F0365">
        <w:rPr>
          <w:b/>
          <w:szCs w:val="22"/>
        </w:rPr>
        <w:t xml:space="preserve"> 4 000 €,</w:t>
      </w:r>
    </w:p>
    <w:p w14:paraId="49C505C0" w14:textId="45FB1B69" w:rsidR="00DD5574" w:rsidRPr="00C865D6" w:rsidRDefault="00DD5574" w:rsidP="00CF6571">
      <w:pPr>
        <w:pStyle w:val="Paragraphedeliste"/>
        <w:keepLines/>
        <w:widowControl w:val="0"/>
        <w:numPr>
          <w:ilvl w:val="0"/>
          <w:numId w:val="14"/>
        </w:numPr>
        <w:tabs>
          <w:tab w:val="left" w:pos="284"/>
        </w:tabs>
        <w:spacing w:before="40" w:after="240"/>
        <w:ind w:left="284" w:hanging="284"/>
        <w:jc w:val="both"/>
        <w:rPr>
          <w:b/>
          <w:spacing w:val="-2"/>
          <w:szCs w:val="22"/>
        </w:rPr>
      </w:pPr>
      <w:proofErr w:type="gramStart"/>
      <w:r w:rsidRPr="002F0365">
        <w:rPr>
          <w:bCs/>
          <w:spacing w:val="-2"/>
          <w:szCs w:val="22"/>
        </w:rPr>
        <w:t>dommages</w:t>
      </w:r>
      <w:proofErr w:type="gramEnd"/>
      <w:r w:rsidRPr="002F0365">
        <w:rPr>
          <w:bCs/>
          <w:spacing w:val="-2"/>
          <w:szCs w:val="22"/>
        </w:rPr>
        <w:t xml:space="preserve"> subis par les pr</w:t>
      </w:r>
      <w:r w:rsidR="0077079E" w:rsidRPr="002F0365">
        <w:rPr>
          <w:bCs/>
          <w:spacing w:val="-2"/>
          <w:szCs w:val="22"/>
        </w:rPr>
        <w:t>é</w:t>
      </w:r>
      <w:r w:rsidRPr="002F0365">
        <w:rPr>
          <w:bCs/>
          <w:spacing w:val="-2"/>
          <w:szCs w:val="22"/>
        </w:rPr>
        <w:t xml:space="preserve">posés et les représentants légaux, dans le cas où la </w:t>
      </w:r>
      <w:r w:rsidRPr="00C865D6">
        <w:rPr>
          <w:bCs/>
          <w:spacing w:val="-2"/>
          <w:szCs w:val="22"/>
        </w:rPr>
        <w:t>responsabilité de l’assuré ne serait pas engagée et hors protection fonctionnelle :</w:t>
      </w:r>
      <w:r w:rsidRPr="00C865D6">
        <w:rPr>
          <w:b/>
          <w:spacing w:val="-2"/>
          <w:szCs w:val="22"/>
        </w:rPr>
        <w:t xml:space="preserve"> 75 €.</w:t>
      </w:r>
    </w:p>
    <w:p w14:paraId="2C4D691C" w14:textId="3C537472" w:rsidR="00216EF6" w:rsidRPr="00C865D6" w:rsidRDefault="00216EF6"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216EF6" w:rsidRPr="00C865D6" w14:paraId="1611EC10" w14:textId="77777777" w:rsidTr="00395935">
        <w:trPr>
          <w:trHeight w:val="454"/>
        </w:trPr>
        <w:tc>
          <w:tcPr>
            <w:tcW w:w="5812" w:type="dxa"/>
            <w:shd w:val="clear" w:color="auto" w:fill="auto"/>
            <w:vAlign w:val="center"/>
          </w:tcPr>
          <w:p w14:paraId="30C62789" w14:textId="37EE4E12" w:rsidR="00216EF6" w:rsidRPr="00C865D6" w:rsidRDefault="003F3126"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C865D6">
              <w:rPr>
                <w:szCs w:val="22"/>
              </w:rPr>
              <w:t>Prime HT annuelle</w:t>
            </w:r>
          </w:p>
        </w:tc>
        <w:tc>
          <w:tcPr>
            <w:tcW w:w="3236" w:type="dxa"/>
            <w:shd w:val="clear" w:color="auto" w:fill="auto"/>
            <w:vAlign w:val="center"/>
          </w:tcPr>
          <w:p w14:paraId="3CE7721F" w14:textId="596F29B5" w:rsidR="00216EF6" w:rsidRPr="00C865D6" w:rsidRDefault="00216EF6" w:rsidP="00395935">
            <w:pPr>
              <w:keepNext/>
              <w:keepLines/>
              <w:widowControl w:val="0"/>
              <w:spacing w:before="40" w:after="40"/>
              <w:ind w:left="35"/>
              <w:rPr>
                <w:szCs w:val="22"/>
                <w:u w:val="single"/>
              </w:rPr>
            </w:pPr>
            <w:r w:rsidRPr="00C865D6">
              <w:rPr>
                <w:noProof/>
                <w:szCs w:val="22"/>
              </w:rPr>
              <w:t xml:space="preserve">= </w:t>
            </w:r>
            <w:r w:rsidRPr="00C865D6">
              <w:rPr>
                <w:b/>
                <w:noProof/>
                <w:szCs w:val="22"/>
              </w:rPr>
              <w:t xml:space="preserve">…………….… </w:t>
            </w:r>
            <w:r w:rsidR="003F3126" w:rsidRPr="00C865D6">
              <w:rPr>
                <w:b/>
                <w:szCs w:val="22"/>
              </w:rPr>
              <w:t>€</w:t>
            </w:r>
          </w:p>
        </w:tc>
      </w:tr>
      <w:tr w:rsidR="00216EF6" w:rsidRPr="00C865D6" w14:paraId="147AAE11" w14:textId="77777777" w:rsidTr="00395935">
        <w:trPr>
          <w:trHeight w:val="454"/>
        </w:trPr>
        <w:tc>
          <w:tcPr>
            <w:tcW w:w="5812" w:type="dxa"/>
            <w:shd w:val="clear" w:color="auto" w:fill="auto"/>
            <w:vAlign w:val="center"/>
          </w:tcPr>
          <w:p w14:paraId="4899E70C" w14:textId="77777777" w:rsidR="00216EF6" w:rsidRPr="00C865D6" w:rsidRDefault="00216EF6" w:rsidP="00EF0C82">
            <w:pPr>
              <w:keepNext/>
              <w:keepLines/>
              <w:widowControl w:val="0"/>
              <w:spacing w:before="40" w:after="40"/>
              <w:ind w:left="179"/>
              <w:rPr>
                <w:szCs w:val="22"/>
              </w:rPr>
            </w:pPr>
            <w:r w:rsidRPr="00C865D6">
              <w:rPr>
                <w:szCs w:val="22"/>
              </w:rPr>
              <w:t>Prime TTC annuelle</w:t>
            </w:r>
          </w:p>
        </w:tc>
        <w:tc>
          <w:tcPr>
            <w:tcW w:w="3236" w:type="dxa"/>
            <w:shd w:val="clear" w:color="auto" w:fill="auto"/>
            <w:vAlign w:val="center"/>
          </w:tcPr>
          <w:p w14:paraId="53418AE7" w14:textId="7E73D230" w:rsidR="00216EF6" w:rsidRPr="00C865D6" w:rsidRDefault="00216EF6" w:rsidP="00395935">
            <w:pPr>
              <w:keepNext/>
              <w:keepLines/>
              <w:widowControl w:val="0"/>
              <w:spacing w:before="40" w:after="40"/>
              <w:ind w:left="35"/>
              <w:jc w:val="both"/>
              <w:rPr>
                <w:szCs w:val="22"/>
              </w:rPr>
            </w:pPr>
            <w:r w:rsidRPr="00C865D6">
              <w:rPr>
                <w:szCs w:val="22"/>
              </w:rPr>
              <w:t xml:space="preserve">= </w:t>
            </w:r>
            <w:r w:rsidRPr="00C865D6">
              <w:rPr>
                <w:b/>
                <w:szCs w:val="22"/>
              </w:rPr>
              <w:t>……..….…….. €</w:t>
            </w:r>
            <w:r w:rsidRPr="00C865D6">
              <w:rPr>
                <w:szCs w:val="22"/>
                <w:u w:val="single"/>
              </w:rPr>
              <w:t xml:space="preserve"> </w:t>
            </w:r>
          </w:p>
        </w:tc>
      </w:tr>
    </w:tbl>
    <w:p w14:paraId="7A74FE93" w14:textId="5454C190" w:rsidR="00764556" w:rsidRPr="00C865D6" w:rsidRDefault="00764556" w:rsidP="00186911">
      <w:pPr>
        <w:widowControl w:val="0"/>
        <w:tabs>
          <w:tab w:val="left" w:pos="1985"/>
          <w:tab w:val="right" w:leader="dot" w:pos="9214"/>
        </w:tabs>
        <w:spacing w:before="240" w:after="240"/>
        <w:jc w:val="both"/>
        <w:rPr>
          <w:bCs/>
          <w:szCs w:val="22"/>
        </w:rPr>
      </w:pPr>
      <w:r w:rsidRPr="00C865D6">
        <w:rPr>
          <w:b/>
          <w:szCs w:val="22"/>
        </w:rPr>
        <w:t>NOM DE LA COMPAGNIE</w:t>
      </w:r>
      <w:r w:rsidRPr="00C865D6">
        <w:rPr>
          <w:bCs/>
          <w:szCs w:val="22"/>
        </w:rPr>
        <w:t xml:space="preserve"> : </w:t>
      </w:r>
      <w:r w:rsidRPr="00C865D6">
        <w:rPr>
          <w:bCs/>
          <w:szCs w:val="22"/>
        </w:rPr>
        <w:tab/>
      </w:r>
    </w:p>
    <w:p w14:paraId="60A98199" w14:textId="733826E1" w:rsidR="00373AA6" w:rsidRPr="00C865D6" w:rsidRDefault="00373AA6" w:rsidP="00373AA6">
      <w:pPr>
        <w:pStyle w:val="08Titre11-"/>
        <w:rPr>
          <w:rStyle w:val="Lienhypertexte"/>
          <w:color w:val="436E91"/>
          <w:spacing w:val="-4"/>
        </w:rPr>
      </w:pPr>
      <w:r w:rsidRPr="00C865D6">
        <w:rPr>
          <w:rStyle w:val="Lienhypertexte"/>
          <w:color w:val="436E91"/>
          <w:spacing w:val="-4"/>
        </w:rPr>
        <w:t xml:space="preserve">Prestation </w:t>
      </w:r>
      <w:r w:rsidRPr="00C865D6">
        <w:rPr>
          <w:rStyle w:val="Lienhypertexte"/>
          <w:color w:val="436E91"/>
        </w:rPr>
        <w:t>supplémentaire</w:t>
      </w:r>
      <w:r w:rsidRPr="00C865D6">
        <w:rPr>
          <w:rStyle w:val="Lienhypertexte"/>
          <w:color w:val="436E91"/>
          <w:spacing w:val="-4"/>
        </w:rPr>
        <w:t xml:space="preserve"> éventuelle - Assurance «</w:t>
      </w:r>
      <w:r w:rsidR="002F0365" w:rsidRPr="00C865D6">
        <w:rPr>
          <w:rStyle w:val="Lienhypertexte"/>
          <w:color w:val="436E91"/>
          <w:spacing w:val="-4"/>
        </w:rPr>
        <w:t xml:space="preserve"> responsabilité générale et risques annexes - réduction </w:t>
      </w:r>
      <w:r w:rsidR="00CB6AB8">
        <w:rPr>
          <w:rStyle w:val="Lienhypertexte"/>
          <w:color w:val="436E91"/>
          <w:spacing w:val="-4"/>
        </w:rPr>
        <w:t xml:space="preserve">du niveau </w:t>
      </w:r>
      <w:r w:rsidR="002F0365" w:rsidRPr="00C865D6">
        <w:rPr>
          <w:rStyle w:val="Lienhypertexte"/>
          <w:color w:val="436E91"/>
          <w:spacing w:val="-4"/>
        </w:rPr>
        <w:t>de la franchise</w:t>
      </w:r>
      <w:r w:rsidRPr="00C865D6">
        <w:rPr>
          <w:rStyle w:val="Lienhypertexte"/>
          <w:color w:val="436E91"/>
          <w:spacing w:val="-4"/>
        </w:rPr>
        <w:t> »</w:t>
      </w:r>
    </w:p>
    <w:p w14:paraId="3A746E4B" w14:textId="6A4D0B32" w:rsidR="00CB6AB8" w:rsidRPr="002F0365" w:rsidRDefault="00CB6AB8" w:rsidP="00CB6AB8">
      <w:pPr>
        <w:keepLines/>
        <w:widowControl w:val="0"/>
        <w:tabs>
          <w:tab w:val="left" w:pos="1728"/>
        </w:tabs>
        <w:spacing w:before="240"/>
        <w:jc w:val="both"/>
        <w:rPr>
          <w:szCs w:val="22"/>
        </w:rPr>
      </w:pPr>
      <w:r w:rsidRPr="002F0365">
        <w:rPr>
          <w:szCs w:val="18"/>
        </w:rPr>
        <w:t>Le prix est forfaitaire et non révisable</w:t>
      </w:r>
      <w:r>
        <w:rPr>
          <w:szCs w:val="18"/>
        </w:rPr>
        <w:t>.</w:t>
      </w:r>
    </w:p>
    <w:p w14:paraId="294B6CDB" w14:textId="60844698" w:rsidR="00C865D6" w:rsidRPr="00C865D6" w:rsidRDefault="00EF54DB" w:rsidP="00C865D6">
      <w:pPr>
        <w:spacing w:before="240"/>
        <w:jc w:val="both"/>
      </w:pPr>
      <w:r w:rsidRPr="00C865D6">
        <w:rPr>
          <w:u w:val="single"/>
        </w:rPr>
        <w:t>Objet de la PSE</w:t>
      </w:r>
      <w:r w:rsidR="00C865D6" w:rsidRPr="00C865D6">
        <w:t> : suppression de la franchise pour les dommages matériels et immatériels consécutifs.</w:t>
      </w:r>
    </w:p>
    <w:p w14:paraId="684BCD33" w14:textId="71087AD6" w:rsidR="00C865D6" w:rsidRPr="00CB6AB8" w:rsidRDefault="00C865D6" w:rsidP="00C865D6">
      <w:pPr>
        <w:spacing w:before="240"/>
        <w:jc w:val="both"/>
      </w:pPr>
      <w:r w:rsidRPr="00C865D6">
        <w:rPr>
          <w:u w:val="single"/>
        </w:rPr>
        <w:t>Récapitulatif des franchises si la prestation supplémentaire éventuelle est levée</w:t>
      </w:r>
      <w:r w:rsidR="00CB6AB8">
        <w:t> :</w:t>
      </w:r>
    </w:p>
    <w:p w14:paraId="5933A9B5" w14:textId="1F79EEBA" w:rsidR="002F0365" w:rsidRPr="00CB6AB8" w:rsidRDefault="002F0365" w:rsidP="00CB6AB8">
      <w:pPr>
        <w:spacing w:before="240"/>
      </w:pPr>
      <w:r w:rsidRPr="002F0365">
        <w:t>Il ne sera pas appliqué de franchise sauf dans les cas suivants :</w:t>
      </w:r>
    </w:p>
    <w:p w14:paraId="2E0263C4" w14:textId="77777777" w:rsidR="002F0365" w:rsidRPr="002F0365" w:rsidRDefault="002F0365" w:rsidP="002F0365">
      <w:pPr>
        <w:pStyle w:val="Paragraphedeliste"/>
        <w:keepLines/>
        <w:widowControl w:val="0"/>
        <w:numPr>
          <w:ilvl w:val="0"/>
          <w:numId w:val="14"/>
        </w:numPr>
        <w:tabs>
          <w:tab w:val="left" w:pos="284"/>
        </w:tabs>
        <w:spacing w:before="40"/>
        <w:ind w:left="284" w:hanging="284"/>
        <w:jc w:val="both"/>
        <w:rPr>
          <w:b/>
          <w:szCs w:val="22"/>
        </w:rPr>
      </w:pPr>
      <w:proofErr w:type="gramStart"/>
      <w:r w:rsidRPr="002F0365">
        <w:rPr>
          <w:bCs/>
          <w:szCs w:val="22"/>
        </w:rPr>
        <w:t>dommages</w:t>
      </w:r>
      <w:proofErr w:type="gramEnd"/>
      <w:r w:rsidRPr="002F0365">
        <w:rPr>
          <w:bCs/>
          <w:szCs w:val="22"/>
        </w:rPr>
        <w:t xml:space="preserve"> immatériels non consécutifs :</w:t>
      </w:r>
      <w:r w:rsidRPr="002F0365">
        <w:rPr>
          <w:b/>
          <w:szCs w:val="22"/>
        </w:rPr>
        <w:t xml:space="preserve"> 10 % </w:t>
      </w:r>
      <w:r w:rsidRPr="002F0365">
        <w:rPr>
          <w:bCs/>
          <w:szCs w:val="22"/>
        </w:rPr>
        <w:t>du montant du sinistre, avec un minimum de</w:t>
      </w:r>
      <w:r w:rsidRPr="002F0365">
        <w:rPr>
          <w:b/>
          <w:szCs w:val="22"/>
        </w:rPr>
        <w:t xml:space="preserve"> 750 € </w:t>
      </w:r>
      <w:r w:rsidRPr="002F0365">
        <w:rPr>
          <w:bCs/>
          <w:szCs w:val="22"/>
        </w:rPr>
        <w:t>et un maximum de</w:t>
      </w:r>
      <w:r w:rsidRPr="002F0365">
        <w:rPr>
          <w:b/>
          <w:szCs w:val="22"/>
        </w:rPr>
        <w:t xml:space="preserve"> 4 000 €,</w:t>
      </w:r>
    </w:p>
    <w:p w14:paraId="2CBA15F8" w14:textId="77777777" w:rsidR="002F0365" w:rsidRPr="002F0365" w:rsidRDefault="002F0365" w:rsidP="002F0365">
      <w:pPr>
        <w:pStyle w:val="Paragraphedeliste"/>
        <w:keepLines/>
        <w:widowControl w:val="0"/>
        <w:numPr>
          <w:ilvl w:val="0"/>
          <w:numId w:val="14"/>
        </w:numPr>
        <w:tabs>
          <w:tab w:val="left" w:pos="284"/>
        </w:tabs>
        <w:spacing w:before="40" w:after="240"/>
        <w:ind w:left="284" w:hanging="284"/>
        <w:jc w:val="both"/>
        <w:rPr>
          <w:b/>
          <w:spacing w:val="-2"/>
          <w:szCs w:val="22"/>
        </w:rPr>
      </w:pPr>
      <w:proofErr w:type="gramStart"/>
      <w:r w:rsidRPr="002F0365">
        <w:rPr>
          <w:bCs/>
          <w:spacing w:val="-2"/>
          <w:szCs w:val="22"/>
        </w:rPr>
        <w:t>dommages</w:t>
      </w:r>
      <w:proofErr w:type="gramEnd"/>
      <w:r w:rsidRPr="002F0365">
        <w:rPr>
          <w:bCs/>
          <w:spacing w:val="-2"/>
          <w:szCs w:val="22"/>
        </w:rPr>
        <w:t xml:space="preserve"> subis par les préposés et les représentants légaux, dans le cas où la responsabilité de l’assuré ne serait pas engagée et hors protection fonctionnelle :</w:t>
      </w:r>
      <w:r w:rsidRPr="002F0365">
        <w:rPr>
          <w:b/>
          <w:spacing w:val="-2"/>
          <w:szCs w:val="22"/>
        </w:rPr>
        <w:t xml:space="preserve"> 75 €.</w:t>
      </w:r>
    </w:p>
    <w:p w14:paraId="79E994AC" w14:textId="77777777" w:rsidR="002F0365" w:rsidRPr="002F0365" w:rsidRDefault="002F0365" w:rsidP="002F036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2F0365" w:rsidRPr="002F0365" w14:paraId="19E81024" w14:textId="77777777" w:rsidTr="00183A62">
        <w:trPr>
          <w:trHeight w:val="454"/>
        </w:trPr>
        <w:tc>
          <w:tcPr>
            <w:tcW w:w="5812" w:type="dxa"/>
            <w:shd w:val="clear" w:color="auto" w:fill="auto"/>
            <w:vAlign w:val="center"/>
          </w:tcPr>
          <w:p w14:paraId="10F97290" w14:textId="5789AD22" w:rsidR="002F0365" w:rsidRPr="002F0365" w:rsidRDefault="002F0365" w:rsidP="00183A62">
            <w:pPr>
              <w:pStyle w:val="Pieddepage"/>
              <w:keepNext/>
              <w:keepLines/>
              <w:widowControl w:val="0"/>
              <w:tabs>
                <w:tab w:val="clear" w:pos="4536"/>
                <w:tab w:val="clear" w:pos="9072"/>
                <w:tab w:val="left" w:pos="1134"/>
                <w:tab w:val="left" w:pos="4710"/>
              </w:tabs>
              <w:spacing w:before="40" w:after="40"/>
              <w:ind w:left="179"/>
              <w:rPr>
                <w:noProof/>
                <w:szCs w:val="22"/>
              </w:rPr>
            </w:pPr>
            <w:r w:rsidRPr="002F0365">
              <w:rPr>
                <w:szCs w:val="22"/>
              </w:rPr>
              <w:t>Prime HT annuelle</w:t>
            </w:r>
            <w:r w:rsidR="00EF54DB">
              <w:rPr>
                <w:szCs w:val="22"/>
              </w:rPr>
              <w:t xml:space="preserve"> </w:t>
            </w:r>
            <w:r w:rsidR="00EF54DB" w:rsidRPr="00CB6AB8">
              <w:rPr>
                <w:b/>
                <w:bCs/>
                <w:szCs w:val="22"/>
                <w:u w:val="single"/>
              </w:rPr>
              <w:t>supplémentaire</w:t>
            </w:r>
            <w:r w:rsidR="00CB6AB8">
              <w:rPr>
                <w:szCs w:val="22"/>
              </w:rPr>
              <w:t xml:space="preserve"> par rapport à l’offre de base</w:t>
            </w:r>
          </w:p>
        </w:tc>
        <w:tc>
          <w:tcPr>
            <w:tcW w:w="3236" w:type="dxa"/>
            <w:shd w:val="clear" w:color="auto" w:fill="auto"/>
            <w:vAlign w:val="center"/>
          </w:tcPr>
          <w:p w14:paraId="4CACBD54" w14:textId="77777777" w:rsidR="002F0365" w:rsidRPr="002F0365" w:rsidRDefault="002F0365" w:rsidP="00183A62">
            <w:pPr>
              <w:keepNext/>
              <w:keepLines/>
              <w:widowControl w:val="0"/>
              <w:spacing w:before="40" w:after="40"/>
              <w:ind w:left="35"/>
              <w:rPr>
                <w:szCs w:val="22"/>
                <w:u w:val="single"/>
              </w:rPr>
            </w:pPr>
            <w:r w:rsidRPr="002F0365">
              <w:rPr>
                <w:noProof/>
                <w:szCs w:val="22"/>
              </w:rPr>
              <w:t xml:space="preserve">= </w:t>
            </w:r>
            <w:r w:rsidRPr="002F0365">
              <w:rPr>
                <w:b/>
                <w:noProof/>
                <w:szCs w:val="22"/>
              </w:rPr>
              <w:t xml:space="preserve">…………….… </w:t>
            </w:r>
            <w:r w:rsidRPr="002F0365">
              <w:rPr>
                <w:b/>
                <w:szCs w:val="22"/>
              </w:rPr>
              <w:t>€</w:t>
            </w:r>
          </w:p>
        </w:tc>
      </w:tr>
      <w:tr w:rsidR="002F0365" w:rsidRPr="003F3126" w14:paraId="3FDB4996" w14:textId="77777777" w:rsidTr="00183A62">
        <w:trPr>
          <w:trHeight w:val="454"/>
        </w:trPr>
        <w:tc>
          <w:tcPr>
            <w:tcW w:w="5812" w:type="dxa"/>
            <w:shd w:val="clear" w:color="auto" w:fill="auto"/>
            <w:vAlign w:val="center"/>
          </w:tcPr>
          <w:p w14:paraId="76BFF9A2" w14:textId="373B4BC0" w:rsidR="002F0365" w:rsidRPr="002F0365" w:rsidRDefault="002F0365" w:rsidP="00183A62">
            <w:pPr>
              <w:keepNext/>
              <w:keepLines/>
              <w:widowControl w:val="0"/>
              <w:spacing w:before="40" w:after="40"/>
              <w:ind w:left="179"/>
              <w:rPr>
                <w:szCs w:val="22"/>
              </w:rPr>
            </w:pPr>
            <w:r w:rsidRPr="002F0365">
              <w:rPr>
                <w:szCs w:val="22"/>
              </w:rPr>
              <w:t>Prime TTC annuelle</w:t>
            </w:r>
            <w:r w:rsidR="00CB6AB8" w:rsidRPr="00CB6AB8">
              <w:rPr>
                <w:b/>
                <w:bCs/>
                <w:szCs w:val="22"/>
                <w:u w:val="single"/>
              </w:rPr>
              <w:t xml:space="preserve"> supplémentaire</w:t>
            </w:r>
            <w:r w:rsidR="00CB6AB8" w:rsidRPr="00CB6AB8">
              <w:rPr>
                <w:szCs w:val="22"/>
              </w:rPr>
              <w:t xml:space="preserve"> par rapport à l’offre de base</w:t>
            </w:r>
          </w:p>
        </w:tc>
        <w:tc>
          <w:tcPr>
            <w:tcW w:w="3236" w:type="dxa"/>
            <w:shd w:val="clear" w:color="auto" w:fill="auto"/>
            <w:vAlign w:val="center"/>
          </w:tcPr>
          <w:p w14:paraId="3DD8C3C6" w14:textId="77777777" w:rsidR="002F0365" w:rsidRPr="003F3126" w:rsidRDefault="002F0365" w:rsidP="00183A62">
            <w:pPr>
              <w:keepNext/>
              <w:keepLines/>
              <w:widowControl w:val="0"/>
              <w:spacing w:before="40" w:after="40"/>
              <w:ind w:left="35"/>
              <w:jc w:val="both"/>
              <w:rPr>
                <w:szCs w:val="22"/>
              </w:rPr>
            </w:pPr>
            <w:r w:rsidRPr="002F0365">
              <w:rPr>
                <w:szCs w:val="22"/>
              </w:rPr>
              <w:t xml:space="preserve">= </w:t>
            </w:r>
            <w:r w:rsidRPr="002F0365">
              <w:rPr>
                <w:b/>
                <w:szCs w:val="22"/>
              </w:rPr>
              <w:t>……..….…….. €</w:t>
            </w:r>
            <w:r w:rsidRPr="003F3126">
              <w:rPr>
                <w:szCs w:val="22"/>
                <w:u w:val="single"/>
              </w:rPr>
              <w:t xml:space="preserve"> </w:t>
            </w:r>
          </w:p>
        </w:tc>
      </w:tr>
    </w:tbl>
    <w:p w14:paraId="5AA2E458" w14:textId="77777777" w:rsidR="002F0365" w:rsidRPr="003F3126" w:rsidRDefault="002F0365" w:rsidP="002F0365">
      <w:pPr>
        <w:widowControl w:val="0"/>
        <w:tabs>
          <w:tab w:val="left" w:pos="1985"/>
          <w:tab w:val="right" w:leader="dot" w:pos="9214"/>
        </w:tabs>
        <w:spacing w:before="240" w:after="240"/>
        <w:jc w:val="both"/>
        <w:rPr>
          <w:bCs/>
          <w:szCs w:val="22"/>
        </w:rPr>
      </w:pPr>
      <w:r w:rsidRPr="003F3126">
        <w:rPr>
          <w:b/>
          <w:szCs w:val="22"/>
        </w:rPr>
        <w:t>NOM DE LA COMPAGNIE</w:t>
      </w:r>
      <w:r w:rsidRPr="003F3126">
        <w:rPr>
          <w:bCs/>
          <w:szCs w:val="22"/>
        </w:rPr>
        <w:t xml:space="preserve"> : </w:t>
      </w:r>
      <w:r w:rsidRPr="003F3126">
        <w:rPr>
          <w:bCs/>
          <w:szCs w:val="22"/>
        </w:rPr>
        <w:tab/>
      </w:r>
    </w:p>
    <w:bookmarkEnd w:id="17"/>
    <w:p w14:paraId="3924690A" w14:textId="77777777" w:rsidR="00FE73AE" w:rsidRPr="00ED75AE" w:rsidRDefault="00FE73AE" w:rsidP="00FE73AE">
      <w:pPr>
        <w:pStyle w:val="06-TitreARTICLEAE"/>
        <w:keepLines/>
        <w:rPr>
          <w:caps/>
        </w:rPr>
      </w:pPr>
      <w:r w:rsidRPr="00ED75AE">
        <w:rPr>
          <w:caps/>
        </w:rPr>
        <w:lastRenderedPageBreak/>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6393546A" w14:textId="6ABAEA34" w:rsidR="00D06A2A" w:rsidRPr="00FE73AE" w:rsidRDefault="00FE73AE" w:rsidP="00BD6450">
      <w:pPr>
        <w:pStyle w:val="06-TitreARTICLEAE"/>
        <w:keepLines/>
        <w:rPr>
          <w:caps/>
        </w:rPr>
      </w:pPr>
      <w:bookmarkStart w:id="18" w:name="_Hlk190959417"/>
      <w:r w:rsidRPr="00FE73AE">
        <w:rPr>
          <w:caps/>
        </w:rPr>
        <w:t xml:space="preserve">Placement éventuel en plusieurs lignes </w:t>
      </w:r>
    </w:p>
    <w:bookmarkEnd w:id="18"/>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2A99BA1E" w14:textId="77777777" w:rsidR="00FF7E16" w:rsidRDefault="00BC113C" w:rsidP="00BD6450">
      <w:pPr>
        <w:keepLines/>
        <w:widowControl w:val="0"/>
        <w:tabs>
          <w:tab w:val="right" w:leader="dot" w:pos="10064"/>
        </w:tabs>
        <w:jc w:val="both"/>
        <w:rPr>
          <w:szCs w:val="22"/>
        </w:rPr>
      </w:pPr>
      <w:r>
        <w:rPr>
          <w:szCs w:val="22"/>
        </w:rPr>
        <w:tab/>
      </w:r>
    </w:p>
    <w:p w14:paraId="469E4AE2" w14:textId="3D98D114"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19" w:name="_Hlk93139231"/>
      <w:r w:rsidRPr="00913E02">
        <w:rPr>
          <w:rFonts w:cs="Arial"/>
          <w:bCs/>
          <w:szCs w:val="22"/>
        </w:rPr>
        <w:t>Ainsi</w:t>
      </w:r>
      <w:r w:rsidRPr="00913E02">
        <w:rPr>
          <w:rFonts w:cs="Arial"/>
          <w:szCs w:val="22"/>
        </w:rPr>
        <w:t>, le contrat émis par l’assureur sera composé, par ordre de prévalence décroissant, des pièces suivantes :</w:t>
      </w:r>
    </w:p>
    <w:bookmarkEnd w:id="19"/>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proofErr w:type="gramStart"/>
      <w:r>
        <w:rPr>
          <w:szCs w:val="22"/>
        </w:rPr>
        <w:lastRenderedPageBreak/>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Default="00E611F8" w:rsidP="00E611F8">
      <w:pPr>
        <w:jc w:val="both"/>
      </w:pPr>
      <w:r>
        <w:t>L'acheteur pourra résilier le marché aux torts de l'assureur si ce dernier refuse de produire ces pièces, après mise en demeure d'un délai minimum d'un mois.</w:t>
      </w:r>
    </w:p>
    <w:p w14:paraId="0B7EA31B" w14:textId="77777777" w:rsidR="00E611F8" w:rsidRDefault="00E611F8" w:rsidP="00E611F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w:t>
      </w:r>
      <w:proofErr w:type="spellStart"/>
      <w:r>
        <w:t>A</w:t>
      </w:r>
      <w:proofErr w:type="spellEnd"/>
      <w:r>
        <w:t xml:space="preserve"> défaut de correction des irrégularités dans un délai de deux mois, </w:t>
      </w:r>
      <w:bookmarkEnd w:id="20"/>
      <w:r>
        <w:t>le contrat pourra être rompu sans indemnité, aux frais et risques de l'entrepreneur.</w:t>
      </w:r>
    </w:p>
    <w:p w14:paraId="36D634E8" w14:textId="77777777" w:rsidR="001333F1" w:rsidRPr="008B306D" w:rsidRDefault="001333F1" w:rsidP="001333F1">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proofErr w:type="spellStart"/>
      <w:r w:rsidRPr="0060769F">
        <w:rPr>
          <w:rFonts w:cs="Arial"/>
          <w:iCs/>
          <w:szCs w:val="22"/>
        </w:rPr>
        <w:t>A</w:t>
      </w:r>
      <w:proofErr w:type="spellEnd"/>
      <w:r w:rsidRPr="0060769F">
        <w:rPr>
          <w:rFonts w:cs="Arial"/>
          <w:iCs/>
          <w:szCs w:val="22"/>
        </w:rPr>
        <w:t xml:space="preserve">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036F8B9A"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CF6571">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B1D956E" w14:textId="5A3C49B0" w:rsidR="00D06A2A" w:rsidRPr="00763ECF" w:rsidRDefault="001333F1" w:rsidP="00763ECF">
      <w:pPr>
        <w:pStyle w:val="06-TitreARTICLEAE"/>
        <w:keepLines/>
        <w:ind w:left="357" w:hanging="357"/>
        <w:rPr>
          <w:caps/>
        </w:rPr>
      </w:pPr>
      <w:r w:rsidRPr="00763ECF">
        <w:rPr>
          <w:caps/>
        </w:rPr>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93A9C5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2566F4" w:rsidRDefault="00763ECF" w:rsidP="00763ECF">
      <w:pPr>
        <w:pStyle w:val="06-TitreARTICLEAE"/>
        <w:keepLines/>
        <w:rPr>
          <w:caps/>
        </w:rPr>
      </w:pPr>
      <w:bookmarkStart w:id="21" w:name="_Hlk29476873"/>
      <w:bookmarkStart w:id="22" w:name="_Hlk29475646"/>
      <w:r w:rsidRPr="002566F4">
        <w:rPr>
          <w:caps/>
        </w:rPr>
        <w:t>Identification de l'acheteur</w:t>
      </w:r>
    </w:p>
    <w:bookmarkEnd w:id="21"/>
    <w:bookmarkEnd w:id="22"/>
    <w:p w14:paraId="7E6310C4" w14:textId="77777777" w:rsidR="008B7F90" w:rsidRDefault="008B7F90" w:rsidP="008B7F90">
      <w:pPr>
        <w:widowControl w:val="0"/>
        <w:jc w:val="both"/>
        <w:rPr>
          <w:b/>
          <w:bCs/>
          <w:color w:val="436E91"/>
          <w:szCs w:val="22"/>
          <w:u w:val="single"/>
        </w:rPr>
      </w:pPr>
    </w:p>
    <w:p w14:paraId="5AA8E2C1" w14:textId="3A984385" w:rsidR="008B7F90" w:rsidRPr="00223BB0" w:rsidRDefault="008B7F90" w:rsidP="008B7F90">
      <w:pPr>
        <w:widowControl w:val="0"/>
        <w:jc w:val="both"/>
        <w:rPr>
          <w:b/>
          <w:bCs/>
          <w:color w:val="436E91"/>
          <w:szCs w:val="22"/>
        </w:rPr>
      </w:pPr>
      <w:r w:rsidRPr="00223BB0">
        <w:rPr>
          <w:b/>
          <w:bCs/>
          <w:color w:val="436E91"/>
          <w:szCs w:val="22"/>
          <w:u w:val="single"/>
        </w:rPr>
        <w:t>Le pouvoir adjudicateur</w:t>
      </w:r>
      <w:r w:rsidRPr="00223BB0">
        <w:rPr>
          <w:b/>
          <w:bCs/>
          <w:color w:val="436E91"/>
          <w:szCs w:val="22"/>
        </w:rPr>
        <w:t xml:space="preserve"> </w:t>
      </w:r>
    </w:p>
    <w:p w14:paraId="1C0FE8DF" w14:textId="77777777" w:rsidR="008B7F90" w:rsidRPr="00223BB0" w:rsidRDefault="008B7F90" w:rsidP="008B7F90">
      <w:pPr>
        <w:widowControl w:val="0"/>
        <w:jc w:val="both"/>
        <w:rPr>
          <w:szCs w:val="22"/>
        </w:rPr>
      </w:pPr>
    </w:p>
    <w:p w14:paraId="296575ED" w14:textId="77777777" w:rsidR="008B7F90" w:rsidRPr="00223BB0" w:rsidRDefault="008B7F90" w:rsidP="008B7F90">
      <w:pPr>
        <w:widowControl w:val="0"/>
        <w:jc w:val="both"/>
        <w:rPr>
          <w:bCs/>
          <w:szCs w:val="22"/>
        </w:rPr>
      </w:pPr>
      <w:r w:rsidRPr="00223BB0">
        <w:rPr>
          <w:bCs/>
          <w:szCs w:val="22"/>
        </w:rPr>
        <w:t>LE SENAT</w:t>
      </w:r>
    </w:p>
    <w:p w14:paraId="3469C071" w14:textId="77777777" w:rsidR="008B7F90" w:rsidRPr="00223BB0" w:rsidRDefault="008B7F90" w:rsidP="008B7F90">
      <w:pPr>
        <w:widowControl w:val="0"/>
        <w:jc w:val="both"/>
        <w:rPr>
          <w:szCs w:val="22"/>
        </w:rPr>
      </w:pPr>
      <w:r w:rsidRPr="00223BB0">
        <w:rPr>
          <w:szCs w:val="22"/>
        </w:rPr>
        <w:t>Direction de la Logistique et des Moyens Généraux</w:t>
      </w:r>
    </w:p>
    <w:p w14:paraId="5808837E" w14:textId="77777777" w:rsidR="008B7F90" w:rsidRPr="00223BB0" w:rsidRDefault="008B7F90" w:rsidP="008B7F90">
      <w:pPr>
        <w:widowControl w:val="0"/>
        <w:jc w:val="both"/>
        <w:rPr>
          <w:szCs w:val="22"/>
        </w:rPr>
      </w:pPr>
      <w:r w:rsidRPr="00223BB0">
        <w:rPr>
          <w:szCs w:val="22"/>
        </w:rPr>
        <w:t>15, rue de Vaugirard</w:t>
      </w:r>
    </w:p>
    <w:p w14:paraId="59A96DCF" w14:textId="77777777" w:rsidR="008B7F90" w:rsidRPr="00223BB0" w:rsidRDefault="008B7F90" w:rsidP="008B7F90">
      <w:pPr>
        <w:widowControl w:val="0"/>
        <w:jc w:val="both"/>
        <w:rPr>
          <w:szCs w:val="22"/>
        </w:rPr>
      </w:pPr>
      <w:r w:rsidRPr="00223BB0">
        <w:rPr>
          <w:szCs w:val="22"/>
        </w:rPr>
        <w:t>75291 PARIS CEDEX 06</w:t>
      </w:r>
    </w:p>
    <w:p w14:paraId="53E693C3" w14:textId="77777777" w:rsidR="008B7F90" w:rsidRPr="00223BB0" w:rsidRDefault="008B7F90" w:rsidP="008B7F90">
      <w:pPr>
        <w:widowControl w:val="0"/>
        <w:jc w:val="both"/>
        <w:rPr>
          <w:szCs w:val="22"/>
        </w:rPr>
      </w:pPr>
    </w:p>
    <w:p w14:paraId="4FBF7974" w14:textId="77777777" w:rsidR="008B7F90" w:rsidRPr="00223BB0" w:rsidRDefault="008B7F90" w:rsidP="008B7F90">
      <w:pPr>
        <w:widowControl w:val="0"/>
        <w:jc w:val="both"/>
        <w:rPr>
          <w:szCs w:val="22"/>
        </w:rPr>
      </w:pPr>
    </w:p>
    <w:p w14:paraId="7FA33A44" w14:textId="77777777" w:rsidR="008B7F90" w:rsidRPr="00223BB0" w:rsidRDefault="008B7F90" w:rsidP="008B7F90">
      <w:pPr>
        <w:widowControl w:val="0"/>
        <w:jc w:val="both"/>
        <w:rPr>
          <w:b/>
          <w:bCs/>
          <w:color w:val="436E91"/>
          <w:szCs w:val="22"/>
        </w:rPr>
      </w:pPr>
      <w:r w:rsidRPr="00223BB0">
        <w:rPr>
          <w:b/>
          <w:bCs/>
          <w:color w:val="436E91"/>
          <w:szCs w:val="22"/>
          <w:u w:val="single"/>
        </w:rPr>
        <w:t>La personne habilitée à signer le marché</w:t>
      </w:r>
    </w:p>
    <w:p w14:paraId="33FF4ED2" w14:textId="77777777" w:rsidR="008B7F90" w:rsidRPr="00223BB0" w:rsidRDefault="008B7F90" w:rsidP="008B7F90">
      <w:pPr>
        <w:widowControl w:val="0"/>
        <w:jc w:val="both"/>
        <w:rPr>
          <w:szCs w:val="22"/>
        </w:rPr>
      </w:pPr>
    </w:p>
    <w:p w14:paraId="647F9B8A" w14:textId="54384E2F" w:rsidR="008B7F90" w:rsidRPr="00223BB0" w:rsidRDefault="008B7F90" w:rsidP="008B7F90">
      <w:pPr>
        <w:widowControl w:val="0"/>
        <w:numPr>
          <w:ilvl w:val="12"/>
          <w:numId w:val="0"/>
        </w:numPr>
        <w:jc w:val="both"/>
        <w:rPr>
          <w:szCs w:val="22"/>
        </w:rPr>
      </w:pPr>
      <w:r w:rsidRPr="00223BB0">
        <w:rPr>
          <w:szCs w:val="22"/>
        </w:rPr>
        <w:t>Monsieur le Questeur Délégué</w:t>
      </w:r>
      <w:r w:rsidR="000D134C">
        <w:rPr>
          <w:szCs w:val="22"/>
        </w:rPr>
        <w:t xml:space="preserve"> ou Mme la Questeure déléguée</w:t>
      </w:r>
    </w:p>
    <w:p w14:paraId="0E7EE164" w14:textId="77777777" w:rsidR="008B7F90" w:rsidRPr="00223BB0" w:rsidRDefault="008B7F90" w:rsidP="008B7F90">
      <w:pPr>
        <w:widowControl w:val="0"/>
        <w:jc w:val="both"/>
        <w:rPr>
          <w:szCs w:val="22"/>
        </w:rPr>
      </w:pPr>
    </w:p>
    <w:p w14:paraId="34996E27" w14:textId="77777777" w:rsidR="008B7F90" w:rsidRPr="00223BB0" w:rsidRDefault="008B7F90" w:rsidP="008B7F90">
      <w:pPr>
        <w:widowControl w:val="0"/>
        <w:jc w:val="both"/>
        <w:rPr>
          <w:szCs w:val="22"/>
        </w:rPr>
      </w:pPr>
    </w:p>
    <w:p w14:paraId="7D23AA2D" w14:textId="77777777" w:rsidR="008B7F90" w:rsidRPr="00223BB0" w:rsidRDefault="008B7F90" w:rsidP="008B7F90">
      <w:pPr>
        <w:widowControl w:val="0"/>
        <w:jc w:val="both"/>
        <w:rPr>
          <w:b/>
          <w:bCs/>
          <w:color w:val="436E91"/>
          <w:szCs w:val="22"/>
        </w:rPr>
      </w:pPr>
      <w:r w:rsidRPr="00223BB0">
        <w:rPr>
          <w:b/>
          <w:bCs/>
          <w:color w:val="436E91"/>
          <w:szCs w:val="22"/>
          <w:u w:val="single"/>
        </w:rPr>
        <w:t>L'ordonnateur</w:t>
      </w:r>
    </w:p>
    <w:p w14:paraId="5C4482A6" w14:textId="77777777" w:rsidR="008B7F90" w:rsidRPr="00223BB0" w:rsidRDefault="008B7F90" w:rsidP="008B7F90">
      <w:pPr>
        <w:widowControl w:val="0"/>
        <w:jc w:val="both"/>
        <w:rPr>
          <w:szCs w:val="22"/>
        </w:rPr>
      </w:pPr>
    </w:p>
    <w:p w14:paraId="4B54EF59" w14:textId="2B221EA5" w:rsidR="008B7F90" w:rsidRPr="00223BB0" w:rsidRDefault="008B7F90" w:rsidP="008B7F90">
      <w:pPr>
        <w:widowControl w:val="0"/>
        <w:numPr>
          <w:ilvl w:val="12"/>
          <w:numId w:val="0"/>
        </w:numPr>
        <w:jc w:val="both"/>
        <w:rPr>
          <w:szCs w:val="22"/>
        </w:rPr>
      </w:pPr>
      <w:r w:rsidRPr="00223BB0">
        <w:rPr>
          <w:szCs w:val="22"/>
        </w:rPr>
        <w:t>Monsieur le Questeur Délégué</w:t>
      </w:r>
      <w:r w:rsidR="000D134C">
        <w:rPr>
          <w:szCs w:val="22"/>
        </w:rPr>
        <w:t xml:space="preserve"> ou Mme la Questeure déléguée</w:t>
      </w:r>
    </w:p>
    <w:p w14:paraId="146F0965" w14:textId="77777777" w:rsidR="008B7F90" w:rsidRPr="00223BB0" w:rsidRDefault="008B7F90" w:rsidP="008B7F90">
      <w:pPr>
        <w:widowControl w:val="0"/>
        <w:jc w:val="both"/>
        <w:rPr>
          <w:szCs w:val="22"/>
        </w:rPr>
      </w:pPr>
    </w:p>
    <w:p w14:paraId="02C815ED" w14:textId="77777777" w:rsidR="008B7F90" w:rsidRPr="00223BB0" w:rsidRDefault="008B7F90" w:rsidP="008B7F90">
      <w:pPr>
        <w:widowControl w:val="0"/>
        <w:jc w:val="both"/>
        <w:rPr>
          <w:szCs w:val="22"/>
        </w:rPr>
      </w:pPr>
    </w:p>
    <w:p w14:paraId="50FDDB58" w14:textId="77777777" w:rsidR="008B7F90" w:rsidRPr="00223BB0" w:rsidRDefault="008B7F90" w:rsidP="008B7F90">
      <w:pPr>
        <w:widowControl w:val="0"/>
        <w:jc w:val="both"/>
        <w:rPr>
          <w:b/>
          <w:bCs/>
          <w:color w:val="436E91"/>
          <w:szCs w:val="22"/>
        </w:rPr>
      </w:pPr>
      <w:r w:rsidRPr="00223BB0">
        <w:rPr>
          <w:b/>
          <w:bCs/>
          <w:color w:val="436E91"/>
          <w:szCs w:val="22"/>
          <w:u w:val="single"/>
        </w:rPr>
        <w:t>Le comptable assignataire des paiements</w:t>
      </w:r>
    </w:p>
    <w:p w14:paraId="35D4AC4B" w14:textId="77777777" w:rsidR="008B7F90" w:rsidRPr="00223BB0" w:rsidRDefault="008B7F90" w:rsidP="008B7F90">
      <w:pPr>
        <w:widowControl w:val="0"/>
        <w:jc w:val="both"/>
        <w:rPr>
          <w:szCs w:val="22"/>
        </w:rPr>
      </w:pPr>
    </w:p>
    <w:p w14:paraId="3AE28440" w14:textId="77777777" w:rsidR="008B7F90" w:rsidRPr="00223BB0" w:rsidRDefault="008B7F90" w:rsidP="008B7F90">
      <w:pPr>
        <w:widowControl w:val="0"/>
        <w:numPr>
          <w:ilvl w:val="12"/>
          <w:numId w:val="0"/>
        </w:numPr>
        <w:jc w:val="both"/>
        <w:rPr>
          <w:szCs w:val="22"/>
        </w:rPr>
      </w:pPr>
      <w:r w:rsidRPr="00223BB0">
        <w:rPr>
          <w:szCs w:val="22"/>
        </w:rPr>
        <w:t>M. le Trésorier du Sénat</w:t>
      </w:r>
    </w:p>
    <w:p w14:paraId="1EF85E46" w14:textId="77777777" w:rsidR="008B7F90" w:rsidRPr="00223BB0" w:rsidRDefault="008B7F90" w:rsidP="008B7F90">
      <w:pPr>
        <w:widowControl w:val="0"/>
        <w:numPr>
          <w:ilvl w:val="12"/>
          <w:numId w:val="0"/>
        </w:numPr>
        <w:jc w:val="both"/>
        <w:rPr>
          <w:szCs w:val="22"/>
        </w:rPr>
      </w:pPr>
      <w:r w:rsidRPr="00223BB0">
        <w:rPr>
          <w:szCs w:val="22"/>
        </w:rPr>
        <w:t>15, rue de Vaugirard</w:t>
      </w:r>
    </w:p>
    <w:p w14:paraId="394560CC" w14:textId="77777777" w:rsidR="008B7F90" w:rsidRPr="00223BB0" w:rsidRDefault="008B7F90" w:rsidP="008B7F90">
      <w:pPr>
        <w:widowControl w:val="0"/>
        <w:numPr>
          <w:ilvl w:val="12"/>
          <w:numId w:val="0"/>
        </w:numPr>
        <w:jc w:val="both"/>
        <w:rPr>
          <w:szCs w:val="22"/>
        </w:rPr>
      </w:pPr>
      <w:r w:rsidRPr="00223BB0">
        <w:rPr>
          <w:szCs w:val="22"/>
        </w:rPr>
        <w:t>75 006 PARIS</w:t>
      </w:r>
    </w:p>
    <w:p w14:paraId="64009069" w14:textId="77777777" w:rsidR="000C72A6" w:rsidRPr="00223BB0" w:rsidRDefault="000C72A6" w:rsidP="000C72A6">
      <w:pPr>
        <w:widowControl w:val="0"/>
        <w:jc w:val="both"/>
        <w:rPr>
          <w:szCs w:val="22"/>
        </w:rPr>
      </w:pPr>
    </w:p>
    <w:tbl>
      <w:tblPr>
        <w:tblW w:w="8975" w:type="dxa"/>
        <w:tblLook w:val="01E0" w:firstRow="1" w:lastRow="1" w:firstColumn="1" w:lastColumn="1" w:noHBand="0" w:noVBand="0"/>
      </w:tblPr>
      <w:tblGrid>
        <w:gridCol w:w="4592"/>
        <w:gridCol w:w="4383"/>
      </w:tblGrid>
      <w:tr w:rsidR="000C72A6" w:rsidRPr="00223BB0" w14:paraId="1622704B" w14:textId="77777777" w:rsidTr="00183A62">
        <w:tc>
          <w:tcPr>
            <w:tcW w:w="8975" w:type="dxa"/>
            <w:gridSpan w:val="2"/>
          </w:tcPr>
          <w:p w14:paraId="04B1053C" w14:textId="77777777" w:rsidR="000C72A6" w:rsidRPr="009F579D" w:rsidRDefault="000C72A6" w:rsidP="00183A62">
            <w:pPr>
              <w:overflowPunct w:val="0"/>
              <w:autoSpaceDE w:val="0"/>
              <w:autoSpaceDN w:val="0"/>
              <w:adjustRightInd w:val="0"/>
              <w:ind w:left="-104"/>
              <w:jc w:val="both"/>
              <w:textAlignment w:val="baseline"/>
              <w:rPr>
                <w:b/>
                <w:bCs/>
                <w:color w:val="436E91"/>
                <w:szCs w:val="22"/>
                <w:u w:val="single"/>
              </w:rPr>
            </w:pPr>
            <w:r w:rsidRPr="009F579D">
              <w:rPr>
                <w:b/>
                <w:bCs/>
                <w:color w:val="436E91"/>
                <w:szCs w:val="22"/>
                <w:u w:val="single"/>
              </w:rPr>
              <w:lastRenderedPageBreak/>
              <w:t>Personne habilitée à donner les renseignements prévus aux articles R. 2191-59 à</w:t>
            </w:r>
            <w:r>
              <w:rPr>
                <w:b/>
                <w:bCs/>
                <w:color w:val="436E91"/>
                <w:szCs w:val="22"/>
                <w:u w:val="single"/>
              </w:rPr>
              <w:t xml:space="preserve"> </w:t>
            </w:r>
            <w:r w:rsidRPr="009F579D">
              <w:rPr>
                <w:b/>
                <w:bCs/>
                <w:color w:val="436E91"/>
                <w:szCs w:val="22"/>
                <w:u w:val="single"/>
              </w:rPr>
              <w:t>R. 2191-62 du code de la commande publique :</w:t>
            </w:r>
          </w:p>
        </w:tc>
      </w:tr>
      <w:tr w:rsidR="000C72A6" w:rsidRPr="009F579D" w14:paraId="24AF3E44" w14:textId="77777777" w:rsidTr="00183A62">
        <w:trPr>
          <w:gridAfter w:val="1"/>
          <w:wAfter w:w="4383" w:type="dxa"/>
        </w:trPr>
        <w:tc>
          <w:tcPr>
            <w:tcW w:w="4592" w:type="dxa"/>
          </w:tcPr>
          <w:p w14:paraId="423AA824" w14:textId="77777777" w:rsidR="000C72A6" w:rsidRDefault="000C72A6" w:rsidP="00183A62">
            <w:pPr>
              <w:widowControl w:val="0"/>
              <w:numPr>
                <w:ilvl w:val="12"/>
                <w:numId w:val="0"/>
              </w:numPr>
              <w:ind w:left="-104"/>
              <w:jc w:val="both"/>
              <w:rPr>
                <w:szCs w:val="22"/>
              </w:rPr>
            </w:pPr>
          </w:p>
          <w:p w14:paraId="5F513E13" w14:textId="77777777" w:rsidR="000C72A6" w:rsidRDefault="000C72A6" w:rsidP="00183A62">
            <w:pPr>
              <w:widowControl w:val="0"/>
              <w:numPr>
                <w:ilvl w:val="12"/>
                <w:numId w:val="0"/>
              </w:numPr>
              <w:ind w:left="-104"/>
              <w:jc w:val="both"/>
              <w:rPr>
                <w:szCs w:val="22"/>
              </w:rPr>
            </w:pPr>
            <w:r w:rsidRPr="009F579D">
              <w:rPr>
                <w:szCs w:val="22"/>
              </w:rPr>
              <w:t>M. le Trésorier du Sénat</w:t>
            </w:r>
          </w:p>
          <w:p w14:paraId="4AC7464E" w14:textId="77777777" w:rsidR="000C72A6" w:rsidRDefault="000C72A6" w:rsidP="00183A62">
            <w:pPr>
              <w:widowControl w:val="0"/>
              <w:numPr>
                <w:ilvl w:val="12"/>
                <w:numId w:val="0"/>
              </w:numPr>
              <w:ind w:left="-104"/>
              <w:jc w:val="both"/>
              <w:rPr>
                <w:szCs w:val="22"/>
              </w:rPr>
            </w:pPr>
            <w:r w:rsidRPr="009F579D">
              <w:rPr>
                <w:szCs w:val="22"/>
              </w:rPr>
              <w:t>15, rue de Vaugirard</w:t>
            </w:r>
          </w:p>
          <w:p w14:paraId="59E0EB49" w14:textId="77777777" w:rsidR="000C72A6" w:rsidRPr="009F579D" w:rsidRDefault="000C72A6" w:rsidP="00183A62">
            <w:pPr>
              <w:widowControl w:val="0"/>
              <w:numPr>
                <w:ilvl w:val="12"/>
                <w:numId w:val="0"/>
              </w:numPr>
              <w:ind w:left="-104"/>
              <w:jc w:val="both"/>
              <w:rPr>
                <w:szCs w:val="22"/>
              </w:rPr>
            </w:pPr>
            <w:r w:rsidRPr="009F579D">
              <w:rPr>
                <w:szCs w:val="22"/>
              </w:rPr>
              <w:t>75006 Paris</w:t>
            </w:r>
          </w:p>
        </w:tc>
      </w:tr>
    </w:tbl>
    <w:p w14:paraId="29EDED11" w14:textId="7CA45EF8" w:rsidR="00406A44" w:rsidRPr="00763ECF" w:rsidRDefault="00406A44" w:rsidP="00763ECF">
      <w:pPr>
        <w:pStyle w:val="06-TitreARTICLEAE"/>
        <w:keepLines/>
        <w:ind w:left="357" w:hanging="357"/>
        <w:rPr>
          <w:caps/>
        </w:rPr>
      </w:pPr>
      <w:r w:rsidRPr="00763ECF">
        <w:rPr>
          <w:caps/>
        </w:rPr>
        <w:t>Acceptation de l'offre par le pouvoir adjudicateur</w:t>
      </w:r>
    </w:p>
    <w:p w14:paraId="7E6E97AF" w14:textId="77777777" w:rsidR="00D06A2A" w:rsidRPr="000C72A6" w:rsidRDefault="00D06A2A" w:rsidP="00763ECF">
      <w:pPr>
        <w:keepLines/>
        <w:widowControl w:val="0"/>
        <w:spacing w:before="240" w:after="240"/>
        <w:rPr>
          <w:szCs w:val="18"/>
        </w:rPr>
      </w:pPr>
      <w:r w:rsidRPr="000C72A6">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rsidRPr="000C72A6" w14:paraId="1C1A483F" w14:textId="77777777" w:rsidTr="000C72A6">
        <w:trPr>
          <w:trHeight w:val="424"/>
        </w:trPr>
        <w:tc>
          <w:tcPr>
            <w:tcW w:w="9048" w:type="dxa"/>
            <w:shd w:val="clear" w:color="auto" w:fill="auto"/>
          </w:tcPr>
          <w:p w14:paraId="77AF5344" w14:textId="68ADD0AB" w:rsidR="002978C6" w:rsidRPr="000C72A6" w:rsidRDefault="00406A44" w:rsidP="000C72A6">
            <w:pPr>
              <w:pStyle w:val="Pieddepage"/>
              <w:widowControl w:val="0"/>
              <w:tabs>
                <w:tab w:val="clear" w:pos="4536"/>
                <w:tab w:val="clear" w:pos="9072"/>
                <w:tab w:val="left" w:pos="1134"/>
                <w:tab w:val="left" w:pos="4710"/>
              </w:tabs>
              <w:spacing w:before="40" w:after="40"/>
              <w:ind w:left="179"/>
              <w:rPr>
                <w:szCs w:val="22"/>
              </w:rPr>
            </w:pPr>
            <w:r w:rsidRPr="000C72A6">
              <w:rPr>
                <w:szCs w:val="22"/>
              </w:rPr>
              <w:t>S</w:t>
            </w:r>
            <w:r w:rsidR="002978C6" w:rsidRPr="000C72A6">
              <w:rPr>
                <w:szCs w:val="22"/>
              </w:rPr>
              <w:t>elon l'</w:t>
            </w:r>
            <w:r w:rsidR="00CA2D62" w:rsidRPr="000C72A6">
              <w:rPr>
                <w:szCs w:val="22"/>
              </w:rPr>
              <w:t>o</w:t>
            </w:r>
            <w:r w:rsidR="002978C6" w:rsidRPr="000C72A6">
              <w:rPr>
                <w:szCs w:val="22"/>
              </w:rPr>
              <w:t xml:space="preserve">ffre de base - Assurance </w:t>
            </w:r>
            <w:r w:rsidR="00CA2D62" w:rsidRPr="000C72A6">
              <w:rPr>
                <w:szCs w:val="22"/>
              </w:rPr>
              <w:t>« </w:t>
            </w:r>
            <w:r w:rsidR="00EE3024" w:rsidRPr="000C72A6">
              <w:rPr>
                <w:szCs w:val="22"/>
              </w:rPr>
              <w:t>r</w:t>
            </w:r>
            <w:r w:rsidR="002978C6" w:rsidRPr="000C72A6">
              <w:rPr>
                <w:szCs w:val="22"/>
              </w:rPr>
              <w:t>esponsabilité et risques annexes</w:t>
            </w:r>
            <w:r w:rsidR="00CA2D62" w:rsidRPr="000C72A6">
              <w:rPr>
                <w:szCs w:val="22"/>
              </w:rPr>
              <w:t> »</w:t>
            </w:r>
          </w:p>
        </w:tc>
      </w:tr>
    </w:tbl>
    <w:p w14:paraId="21ED875A" w14:textId="77777777" w:rsidR="00373AA6" w:rsidRPr="000C72A6" w:rsidRDefault="00373AA6" w:rsidP="00E774D2">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373AA6" w14:paraId="133F31DD" w14:textId="77777777" w:rsidTr="00E774D2">
        <w:trPr>
          <w:trHeight w:val="677"/>
        </w:trPr>
        <w:tc>
          <w:tcPr>
            <w:tcW w:w="9048" w:type="dxa"/>
            <w:shd w:val="clear" w:color="auto" w:fill="auto"/>
          </w:tcPr>
          <w:p w14:paraId="306E51A7" w14:textId="0E06A843" w:rsidR="00373AA6" w:rsidRPr="000C72A6" w:rsidRDefault="00373AA6" w:rsidP="00E774D2">
            <w:pPr>
              <w:widowControl w:val="0"/>
              <w:numPr>
                <w:ilvl w:val="0"/>
                <w:numId w:val="4"/>
              </w:numPr>
              <w:tabs>
                <w:tab w:val="left" w:pos="453"/>
                <w:tab w:val="left" w:pos="1134"/>
                <w:tab w:val="left" w:pos="4710"/>
              </w:tabs>
              <w:spacing w:before="40" w:after="40"/>
              <w:ind w:left="448" w:hanging="357"/>
              <w:jc w:val="both"/>
              <w:rPr>
                <w:sz w:val="12"/>
                <w:szCs w:val="22"/>
                <w:u w:val="single"/>
              </w:rPr>
            </w:pPr>
            <w:proofErr w:type="gramStart"/>
            <w:r w:rsidRPr="000C72A6">
              <w:rPr>
                <w:szCs w:val="22"/>
              </w:rPr>
              <w:t>avec</w:t>
            </w:r>
            <w:proofErr w:type="gramEnd"/>
            <w:r w:rsidRPr="000C72A6">
              <w:rPr>
                <w:szCs w:val="22"/>
              </w:rPr>
              <w:t xml:space="preserve"> la prestation supplémentaire éventuelle n°</w:t>
            </w:r>
            <w:r w:rsidR="00CB23A4" w:rsidRPr="000C72A6">
              <w:rPr>
                <w:szCs w:val="22"/>
              </w:rPr>
              <w:t> </w:t>
            </w:r>
            <w:r w:rsidRPr="000C72A6">
              <w:rPr>
                <w:szCs w:val="22"/>
              </w:rPr>
              <w:t>1 - Assurance « </w:t>
            </w:r>
            <w:r w:rsidR="000C72A6" w:rsidRPr="000C72A6">
              <w:rPr>
                <w:szCs w:val="22"/>
              </w:rPr>
              <w:t>responsabilité et risques annexes - réduction du niveau de la franchise</w:t>
            </w:r>
            <w:r w:rsidRPr="000C72A6">
              <w:rPr>
                <w:szCs w:val="22"/>
              </w:rPr>
              <w:t> »</w:t>
            </w:r>
          </w:p>
        </w:tc>
      </w:tr>
    </w:tbl>
    <w:p w14:paraId="30FE94E9" w14:textId="66934811" w:rsidR="008F62CC" w:rsidRPr="000C72A6" w:rsidRDefault="008F62CC" w:rsidP="00380C00">
      <w:pPr>
        <w:keepLines/>
        <w:widowControl w:val="0"/>
        <w:tabs>
          <w:tab w:val="right" w:leader="dot" w:pos="4395"/>
          <w:tab w:val="left" w:pos="5245"/>
        </w:tabs>
        <w:spacing w:before="400"/>
        <w:ind w:left="992"/>
        <w:rPr>
          <w:szCs w:val="18"/>
        </w:rPr>
      </w:pPr>
      <w:r w:rsidRPr="000C72A6">
        <w:rPr>
          <w:szCs w:val="18"/>
        </w:rPr>
        <w:t xml:space="preserve">A </w:t>
      </w:r>
      <w:r w:rsidRPr="000C72A6">
        <w:rPr>
          <w:szCs w:val="18"/>
        </w:rPr>
        <w:tab/>
        <w:t xml:space="preserve">, </w:t>
      </w:r>
      <w:r w:rsidRPr="000C72A6">
        <w:rPr>
          <w:szCs w:val="18"/>
        </w:rPr>
        <w:tab/>
        <w:t>le</w:t>
      </w:r>
      <w:r w:rsidR="00417CA4" w:rsidRPr="000C72A6">
        <w:rPr>
          <w:szCs w:val="18"/>
        </w:rPr>
        <w:t xml:space="preserve"> ......</w:t>
      </w:r>
      <w:r w:rsidRPr="000C72A6">
        <w:rPr>
          <w:szCs w:val="18"/>
        </w:rPr>
        <w:t xml:space="preserve"> / </w:t>
      </w:r>
      <w:r w:rsidR="00417CA4" w:rsidRPr="000C72A6">
        <w:rPr>
          <w:szCs w:val="18"/>
        </w:rPr>
        <w:t>......</w:t>
      </w:r>
      <w:r w:rsidRPr="000C72A6">
        <w:rPr>
          <w:szCs w:val="18"/>
        </w:rPr>
        <w:t xml:space="preserve"> / </w:t>
      </w:r>
      <w:r w:rsidR="00417CA4" w:rsidRPr="000C72A6">
        <w:rPr>
          <w:szCs w:val="18"/>
        </w:rPr>
        <w:t>......</w:t>
      </w:r>
    </w:p>
    <w:p w14:paraId="76C8FB61" w14:textId="77777777" w:rsidR="008B7F90" w:rsidRPr="000C72A6" w:rsidRDefault="008B7F90" w:rsidP="008B7F90">
      <w:pPr>
        <w:widowControl w:val="0"/>
        <w:jc w:val="both"/>
        <w:rPr>
          <w:szCs w:val="22"/>
        </w:rPr>
      </w:pPr>
    </w:p>
    <w:p w14:paraId="1760C22F" w14:textId="17AACC7D" w:rsidR="008B7F90" w:rsidRPr="000C72A6" w:rsidRDefault="008B7F90" w:rsidP="008B7F90">
      <w:pPr>
        <w:widowControl w:val="0"/>
        <w:jc w:val="both"/>
        <w:rPr>
          <w:szCs w:val="22"/>
        </w:rPr>
      </w:pPr>
      <w:bookmarkStart w:id="23" w:name="_Hlk192837426"/>
      <w:r w:rsidRPr="000C72A6">
        <w:rPr>
          <w:szCs w:val="22"/>
        </w:rPr>
        <w:t>Présenté par M l</w:t>
      </w:r>
      <w:r w:rsidR="000D134C">
        <w:rPr>
          <w:szCs w:val="22"/>
        </w:rPr>
        <w:t>e</w:t>
      </w:r>
      <w:r w:rsidRPr="000C72A6">
        <w:rPr>
          <w:szCs w:val="22"/>
        </w:rPr>
        <w:t xml:space="preserve"> direct</w:t>
      </w:r>
      <w:r w:rsidR="000D134C">
        <w:rPr>
          <w:szCs w:val="22"/>
        </w:rPr>
        <w:t>eur</w:t>
      </w:r>
      <w:r w:rsidRPr="000C72A6">
        <w:rPr>
          <w:szCs w:val="22"/>
        </w:rPr>
        <w:t xml:space="preserve"> de la Logistique et des Moyens généraux :</w:t>
      </w:r>
    </w:p>
    <w:p w14:paraId="760647FB" w14:textId="77777777" w:rsidR="008B7F90" w:rsidRPr="000C72A6" w:rsidRDefault="008B7F90" w:rsidP="008B7F90">
      <w:pPr>
        <w:widowControl w:val="0"/>
        <w:jc w:val="both"/>
        <w:rPr>
          <w:szCs w:val="22"/>
        </w:rPr>
      </w:pPr>
    </w:p>
    <w:p w14:paraId="6A047040" w14:textId="77777777" w:rsidR="008B7F90" w:rsidRPr="000C72A6" w:rsidRDefault="008B7F90" w:rsidP="000C72A6">
      <w:pPr>
        <w:widowControl w:val="0"/>
        <w:spacing w:after="1800"/>
        <w:jc w:val="both"/>
        <w:rPr>
          <w:szCs w:val="22"/>
        </w:rPr>
      </w:pPr>
      <w:r w:rsidRPr="000C72A6">
        <w:rPr>
          <w:szCs w:val="22"/>
        </w:rPr>
        <w:t xml:space="preserve">Le ………………. Signature : </w:t>
      </w:r>
    </w:p>
    <w:p w14:paraId="4753420F" w14:textId="77777777" w:rsidR="008B7F90" w:rsidRPr="000C72A6" w:rsidRDefault="008B7F90" w:rsidP="008B7F90">
      <w:pPr>
        <w:widowControl w:val="0"/>
        <w:jc w:val="both"/>
        <w:rPr>
          <w:szCs w:val="22"/>
        </w:rPr>
      </w:pPr>
    </w:p>
    <w:p w14:paraId="601A081F" w14:textId="77777777" w:rsidR="008B7F90" w:rsidRPr="000C72A6" w:rsidRDefault="008B7F90" w:rsidP="008B7F90">
      <w:pPr>
        <w:widowControl w:val="0"/>
        <w:jc w:val="both"/>
        <w:rPr>
          <w:szCs w:val="22"/>
        </w:rPr>
      </w:pPr>
    </w:p>
    <w:p w14:paraId="61B682D3" w14:textId="38BAFA74" w:rsidR="008B7F90" w:rsidRPr="000C72A6" w:rsidRDefault="008B7F90" w:rsidP="008B7F90">
      <w:pPr>
        <w:widowControl w:val="0"/>
        <w:jc w:val="both"/>
        <w:rPr>
          <w:b/>
          <w:szCs w:val="22"/>
        </w:rPr>
      </w:pPr>
      <w:r w:rsidRPr="000C72A6">
        <w:rPr>
          <w:b/>
          <w:szCs w:val="22"/>
        </w:rPr>
        <w:t>Signature du représentant du pouvoir adjudicateur (M. le Questeur délégué</w:t>
      </w:r>
      <w:r w:rsidR="000D134C">
        <w:rPr>
          <w:b/>
          <w:szCs w:val="22"/>
        </w:rPr>
        <w:t xml:space="preserve"> ou Mme la Questeure déléguée</w:t>
      </w:r>
      <w:r w:rsidRPr="000C72A6">
        <w:rPr>
          <w:b/>
          <w:szCs w:val="22"/>
        </w:rPr>
        <w:t>),</w:t>
      </w:r>
    </w:p>
    <w:p w14:paraId="31C5B245" w14:textId="77777777" w:rsidR="008B7F90" w:rsidRPr="000C72A6" w:rsidRDefault="008B7F90" w:rsidP="008B7F90">
      <w:pPr>
        <w:widowControl w:val="0"/>
        <w:jc w:val="both"/>
        <w:rPr>
          <w:b/>
          <w:szCs w:val="22"/>
        </w:rPr>
      </w:pPr>
    </w:p>
    <w:p w14:paraId="0854BDD6" w14:textId="5F786FA7" w:rsidR="008B7F90" w:rsidRDefault="008B7F90" w:rsidP="000C72A6">
      <w:pPr>
        <w:widowControl w:val="0"/>
        <w:spacing w:after="1800"/>
        <w:jc w:val="both"/>
        <w:rPr>
          <w:b/>
          <w:szCs w:val="22"/>
        </w:rPr>
      </w:pPr>
      <w:r w:rsidRPr="000C72A6">
        <w:rPr>
          <w:b/>
          <w:szCs w:val="22"/>
        </w:rPr>
        <w:t>Le………………  Signature :</w:t>
      </w:r>
    </w:p>
    <w:bookmarkEnd w:id="23"/>
    <w:p w14:paraId="2A605035" w14:textId="4F2983EE" w:rsidR="008B7F90" w:rsidRDefault="008B7F90" w:rsidP="008B7F90">
      <w:pPr>
        <w:widowControl w:val="0"/>
        <w:jc w:val="both"/>
        <w:rPr>
          <w:b/>
          <w:szCs w:val="22"/>
        </w:rPr>
      </w:pPr>
    </w:p>
    <w:p w14:paraId="06B72A5D" w14:textId="2960B447" w:rsidR="008B7F90" w:rsidRDefault="008B7F90" w:rsidP="008B7F90">
      <w:pPr>
        <w:widowControl w:val="0"/>
        <w:jc w:val="both"/>
        <w:rPr>
          <w:b/>
          <w:szCs w:val="22"/>
        </w:rPr>
      </w:pPr>
    </w:p>
    <w:p w14:paraId="7DF0BEB6" w14:textId="24591B29" w:rsidR="008B7F90" w:rsidRDefault="008B7F90" w:rsidP="008B7F90">
      <w:pPr>
        <w:widowControl w:val="0"/>
        <w:jc w:val="both"/>
        <w:rPr>
          <w:b/>
          <w:szCs w:val="22"/>
        </w:rPr>
      </w:pPr>
    </w:p>
    <w:p w14:paraId="0973CB31" w14:textId="77777777" w:rsidR="008B7F90" w:rsidRPr="00D3453B" w:rsidRDefault="008B7F90" w:rsidP="008B7F90">
      <w:pPr>
        <w:widowControl w:val="0"/>
        <w:jc w:val="both"/>
        <w:rPr>
          <w:b/>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026FBCC" w:rsidR="00B82D76" w:rsidRPr="00166BD7" w:rsidRDefault="00B82D76" w:rsidP="002D5AD3">
            <w:pPr>
              <w:keepLines/>
              <w:widowControl w:val="0"/>
              <w:spacing w:before="240" w:after="240"/>
              <w:jc w:val="center"/>
              <w:rPr>
                <w:sz w:val="24"/>
              </w:rPr>
            </w:pPr>
            <w:r w:rsidRPr="00166BD7">
              <w:rPr>
                <w:b/>
                <w:sz w:val="24"/>
              </w:rPr>
              <w:t xml:space="preserve">Date d'effet du </w:t>
            </w:r>
            <w:r w:rsidRPr="008B7F90">
              <w:rPr>
                <w:b/>
                <w:sz w:val="24"/>
              </w:rPr>
              <w:t xml:space="preserve">marché : </w:t>
            </w:r>
            <w:r w:rsidR="00D2557F" w:rsidRPr="008B7F90">
              <w:rPr>
                <w:b/>
                <w:sz w:val="24"/>
              </w:rPr>
              <w:t>01</w:t>
            </w:r>
            <w:r w:rsidR="00DC50FA" w:rsidRPr="008B7F90">
              <w:rPr>
                <w:b/>
                <w:sz w:val="24"/>
              </w:rPr>
              <w:t>/</w:t>
            </w:r>
            <w:r w:rsidR="00D2557F" w:rsidRPr="008B7F90">
              <w:rPr>
                <w:b/>
                <w:sz w:val="24"/>
              </w:rPr>
              <w:t>01</w:t>
            </w:r>
            <w:r w:rsidR="00DC50FA" w:rsidRPr="008B7F90">
              <w:rPr>
                <w:b/>
                <w:sz w:val="24"/>
              </w:rPr>
              <w:t>/20</w:t>
            </w:r>
            <w:r w:rsidR="00D2557F" w:rsidRPr="008B7F90">
              <w:rPr>
                <w:b/>
                <w:sz w:val="24"/>
              </w:rPr>
              <w:t>2</w:t>
            </w:r>
            <w:r w:rsidR="004F0058" w:rsidRPr="008B7F90">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72348079"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sidR="00B41F44">
        <w:rPr>
          <w:sz w:val="22"/>
          <w:szCs w:val="18"/>
        </w:rPr>
        <w:t xml:space="preserve"> 2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6EBC5616" w14:textId="77777777" w:rsidR="00FF7E16"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327FFCBA" w14:textId="3ECA3768" w:rsidR="00773202" w:rsidRDefault="00773202" w:rsidP="00773202">
      <w:pPr>
        <w:rPr>
          <w:szCs w:val="18"/>
        </w:rPr>
        <w:sectPr w:rsidR="00773202" w:rsidSect="006B47A3">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02BF50AD" w14:textId="77777777" w:rsidR="00FF7E16"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4A3F8ADE"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77777777" w:rsidR="00C97E1C" w:rsidRDefault="00C97E1C" w:rsidP="00BD6450">
      <w:pPr>
        <w:pStyle w:val="Corpsdetexte3"/>
        <w:keepLines/>
        <w:sectPr w:rsidR="00C97E1C" w:rsidSect="00934F3A">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1815"/>
        <w:gridCol w:w="873"/>
        <w:gridCol w:w="33"/>
        <w:gridCol w:w="907"/>
        <w:gridCol w:w="1816"/>
        <w:gridCol w:w="745"/>
      </w:tblGrid>
      <w:tr w:rsidR="004F0058" w14:paraId="604C23EB" w14:textId="77777777" w:rsidTr="00905FBC">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77925816"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4A3C54"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EF93190"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8EF535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05D8F38"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4641BF14" w14:textId="77777777" w:rsidTr="00905FBC">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0AE0A3"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58A722"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41075A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7D76C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3D3AAFC9" w14:textId="77777777" w:rsidTr="00905FBC">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34C2A9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C0A07BD"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7D7E2A9"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01F30C2"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79E414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671DE465" w14:textId="77777777" w:rsidTr="00905FB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7682F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08A37FC"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5"/>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1928F9E"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E9C8EC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580AFED0" w14:textId="77777777" w:rsidTr="00905FBC">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0CFE5D0"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2B01E5A"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989289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1DE7934F"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2271F370" w14:textId="77777777" w:rsidTr="008B7F90">
        <w:trPr>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7477CE9" w14:textId="77777777" w:rsidR="00905FBC" w:rsidRPr="00905FBC" w:rsidRDefault="00905FBC" w:rsidP="008B7F90">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C8FFEA5" w14:textId="77777777" w:rsidR="00905FBC" w:rsidRDefault="00905FBC" w:rsidP="008B7F90">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B28A722" w14:textId="77777777" w:rsidR="00905FBC" w:rsidRDefault="00905FBC" w:rsidP="008B7F9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31A076C1" w14:textId="77777777" w:rsidR="00905FBC" w:rsidRDefault="00905FBC" w:rsidP="008B7F9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73F894D0" w14:textId="18E32363" w:rsidR="00905FBC" w:rsidRDefault="00905FBC" w:rsidP="008B7F9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0C72A6">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51FAC1C0" w14:textId="77777777" w:rsidTr="00905FBC">
        <w:tc>
          <w:tcPr>
            <w:tcW w:w="739" w:type="dxa"/>
            <w:vMerge w:val="restart"/>
            <w:tcBorders>
              <w:top w:val="double" w:sz="4" w:space="0" w:color="A2C037" w:themeColor="accent6"/>
            </w:tcBorders>
            <w:shd w:val="clear" w:color="auto" w:fill="436E91" w:themeFill="accent1"/>
            <w:textDirection w:val="btLr"/>
            <w:vAlign w:val="center"/>
          </w:tcPr>
          <w:p w14:paraId="38DE457C"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421C6A4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57271E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vAlign w:val="center"/>
          </w:tcPr>
          <w:p w14:paraId="12C56C99"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3AE3D8A3" w14:textId="3DB21370" w:rsidR="004F0058" w:rsidRPr="00AE1CF6" w:rsidRDefault="00905FBC"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1,50</w:t>
            </w:r>
          </w:p>
        </w:tc>
      </w:tr>
      <w:tr w:rsidR="004F0058" w14:paraId="21BEF60C" w14:textId="77777777" w:rsidTr="00905FBC">
        <w:tc>
          <w:tcPr>
            <w:tcW w:w="739" w:type="dxa"/>
            <w:vMerge/>
            <w:tcBorders>
              <w:bottom w:val="double" w:sz="12" w:space="0" w:color="A2C037" w:themeColor="accent6"/>
            </w:tcBorders>
            <w:shd w:val="clear" w:color="auto" w:fill="436E91" w:themeFill="accent1"/>
            <w:vAlign w:val="center"/>
          </w:tcPr>
          <w:p w14:paraId="1BE7C91B"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261AC8E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6C9B2E2C"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uble" w:sz="12" w:space="0" w:color="A2C037" w:themeColor="accent6"/>
            </w:tcBorders>
            <w:vAlign w:val="center"/>
          </w:tcPr>
          <w:p w14:paraId="1847346A"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7EB285AB" w14:textId="7275CE45"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0C72A6">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7A92D8E4" w14:textId="77777777" w:rsidTr="00905FBC">
        <w:tc>
          <w:tcPr>
            <w:tcW w:w="739" w:type="dxa"/>
            <w:vMerge w:val="restart"/>
            <w:tcBorders>
              <w:top w:val="double" w:sz="12" w:space="0" w:color="A2C037" w:themeColor="accent6"/>
            </w:tcBorders>
            <w:shd w:val="clear" w:color="auto" w:fill="436E91" w:themeFill="accent1"/>
            <w:textDirection w:val="btLr"/>
            <w:vAlign w:val="center"/>
          </w:tcPr>
          <w:p w14:paraId="35F1E6D4"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1C311CE6"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232E5AC7"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tcBorders>
            <w:vAlign w:val="center"/>
          </w:tcPr>
          <w:p w14:paraId="445D591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4C3078B0" w14:textId="58D083E9"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0C72A6">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2312F193" w14:textId="77777777" w:rsidTr="00905FBC">
        <w:tc>
          <w:tcPr>
            <w:tcW w:w="739" w:type="dxa"/>
            <w:vMerge/>
            <w:shd w:val="clear" w:color="auto" w:fill="436E91" w:themeFill="accent1"/>
            <w:vAlign w:val="center"/>
          </w:tcPr>
          <w:p w14:paraId="6E97A4AD"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4A9578C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63486FB2"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6CF1D8FA"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vAlign w:val="center"/>
          </w:tcPr>
          <w:p w14:paraId="151DDC71"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59EAB0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9F8A026" w14:textId="77777777" w:rsidTr="00905FBC">
        <w:tc>
          <w:tcPr>
            <w:tcW w:w="739" w:type="dxa"/>
            <w:vMerge/>
            <w:shd w:val="clear" w:color="auto" w:fill="436E91" w:themeFill="accent1"/>
            <w:vAlign w:val="center"/>
          </w:tcPr>
          <w:p w14:paraId="28CA4E5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742B894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453EAC2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105E5C8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F0FBD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D65E8A7" w14:textId="77777777" w:rsidTr="00905FBC">
        <w:tc>
          <w:tcPr>
            <w:tcW w:w="739" w:type="dxa"/>
            <w:vMerge/>
            <w:tcBorders>
              <w:bottom w:val="double" w:sz="12" w:space="0" w:color="A2C037" w:themeColor="accent6"/>
            </w:tcBorders>
            <w:shd w:val="clear" w:color="auto" w:fill="436E91" w:themeFill="accent1"/>
            <w:vAlign w:val="center"/>
          </w:tcPr>
          <w:p w14:paraId="0224BAB5"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561B709E"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1815" w:type="dxa"/>
            <w:tcBorders>
              <w:top w:val="dotted" w:sz="12" w:space="0" w:color="A2C037" w:themeColor="accent6"/>
              <w:bottom w:val="double" w:sz="12" w:space="0" w:color="A2C037" w:themeColor="accent6"/>
            </w:tcBorders>
            <w:vAlign w:val="center"/>
          </w:tcPr>
          <w:p w14:paraId="75BC467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52E78D9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tcBorders>
              <w:top w:val="dotted" w:sz="12" w:space="0" w:color="A2C037" w:themeColor="accent6"/>
              <w:bottom w:val="double" w:sz="12" w:space="0" w:color="A2C037" w:themeColor="accent6"/>
            </w:tcBorders>
            <w:vAlign w:val="center"/>
          </w:tcPr>
          <w:p w14:paraId="182F64D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6D3D8D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bl>
    <w:p w14:paraId="504E5B76" w14:textId="77777777" w:rsidR="000C72A6" w:rsidRDefault="000C72A6">
      <w:r>
        <w:br w:type="page"/>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2721"/>
        <w:gridCol w:w="1505"/>
        <w:gridCol w:w="1218"/>
        <w:gridCol w:w="745"/>
      </w:tblGrid>
      <w:tr w:rsidR="004F0058" w14:paraId="1F1E0E89" w14:textId="77777777" w:rsidTr="00905FBC">
        <w:tc>
          <w:tcPr>
            <w:tcW w:w="739" w:type="dxa"/>
            <w:vMerge w:val="restart"/>
            <w:tcBorders>
              <w:top w:val="double" w:sz="12" w:space="0" w:color="A2C037" w:themeColor="accent6"/>
            </w:tcBorders>
            <w:shd w:val="clear" w:color="auto" w:fill="436E91" w:themeFill="accent1"/>
            <w:textDirection w:val="btLr"/>
            <w:vAlign w:val="center"/>
          </w:tcPr>
          <w:p w14:paraId="799B38D7" w14:textId="5C58A8BE" w:rsidR="004F0058" w:rsidRPr="003F3126"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3F3126">
              <w:rPr>
                <w:rFonts w:asciiTheme="minorHAnsi" w:hAnsiTheme="minorHAnsi" w:cstheme="minorHAnsi"/>
                <w:i/>
                <w:color w:val="FFFFFF" w:themeColor="background1"/>
                <w:spacing w:val="-4"/>
                <w:sz w:val="18"/>
                <w:szCs w:val="18"/>
              </w:rPr>
              <w:lastRenderedPageBreak/>
              <w:t>Site extranet</w:t>
            </w:r>
          </w:p>
        </w:tc>
        <w:tc>
          <w:tcPr>
            <w:tcW w:w="7049" w:type="dxa"/>
            <w:tcBorders>
              <w:top w:val="double" w:sz="12" w:space="0" w:color="A2C037" w:themeColor="accent6"/>
              <w:bottom w:val="dotted" w:sz="12" w:space="0" w:color="A2C037" w:themeColor="accent6"/>
            </w:tcBorders>
            <w:vAlign w:val="center"/>
          </w:tcPr>
          <w:p w14:paraId="52E078C8" w14:textId="77777777" w:rsidR="004F0058" w:rsidRPr="003F312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3F3126">
              <w:rPr>
                <w:rFonts w:asciiTheme="minorHAnsi" w:hAnsiTheme="minorHAnsi" w:cstheme="minorHAnsi"/>
                <w:spacing w:val="-4"/>
                <w:sz w:val="20"/>
              </w:rPr>
              <w:t>Le candidat propose de mettre à disposition de l’assuré un site extranet.</w:t>
            </w:r>
          </w:p>
        </w:tc>
        <w:tc>
          <w:tcPr>
            <w:tcW w:w="2721" w:type="dxa"/>
            <w:tcBorders>
              <w:top w:val="double" w:sz="12" w:space="0" w:color="A2C037" w:themeColor="accent6"/>
              <w:bottom w:val="dotted" w:sz="12" w:space="0" w:color="A2C037" w:themeColor="accent6"/>
            </w:tcBorders>
            <w:vAlign w:val="center"/>
          </w:tcPr>
          <w:p w14:paraId="0886610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26462C1B"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6D16CF5D" w14:textId="61018E20"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4F0058" w14:paraId="5C285FF2" w14:textId="77777777" w:rsidTr="00905FBC">
        <w:trPr>
          <w:trHeight w:val="337"/>
        </w:trPr>
        <w:tc>
          <w:tcPr>
            <w:tcW w:w="739" w:type="dxa"/>
            <w:vMerge/>
            <w:shd w:val="clear" w:color="auto" w:fill="436E91" w:themeFill="accent1"/>
            <w:vAlign w:val="center"/>
          </w:tcPr>
          <w:p w14:paraId="5F205909"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7704A21B"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07CBDEF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1" w:type="dxa"/>
            <w:tcBorders>
              <w:top w:val="dotted" w:sz="12" w:space="0" w:color="A2C037" w:themeColor="accent6"/>
              <w:bottom w:val="dotted" w:sz="12" w:space="0" w:color="A2C037" w:themeColor="accent6"/>
            </w:tcBorders>
            <w:vAlign w:val="center"/>
          </w:tcPr>
          <w:p w14:paraId="33359E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tcBorders>
              <w:top w:val="dotted" w:sz="12" w:space="0" w:color="A2C037" w:themeColor="accent6"/>
              <w:bottom w:val="dotted" w:sz="12" w:space="0" w:color="A2C037" w:themeColor="accent6"/>
            </w:tcBorders>
            <w:vAlign w:val="center"/>
          </w:tcPr>
          <w:p w14:paraId="2B215A6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995087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57387AB"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730B4F92" w14:textId="77777777" w:rsidTr="00905FBC">
        <w:trPr>
          <w:trHeight w:val="337"/>
        </w:trPr>
        <w:tc>
          <w:tcPr>
            <w:tcW w:w="739" w:type="dxa"/>
            <w:vMerge/>
            <w:shd w:val="clear" w:color="auto" w:fill="436E91" w:themeFill="accent1"/>
            <w:vAlign w:val="center"/>
          </w:tcPr>
          <w:p w14:paraId="13F5A2EE"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51783A0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tcBorders>
              <w:top w:val="dotted" w:sz="12" w:space="0" w:color="A2C037" w:themeColor="accent6"/>
              <w:bottom w:val="dotted" w:sz="12" w:space="0" w:color="A2C037" w:themeColor="accent6"/>
            </w:tcBorders>
            <w:vAlign w:val="center"/>
          </w:tcPr>
          <w:p w14:paraId="0C57403E"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tcBorders>
              <w:top w:val="dotted" w:sz="12" w:space="0" w:color="A2C037" w:themeColor="accent6"/>
              <w:bottom w:val="dotted" w:sz="12" w:space="0" w:color="A2C037" w:themeColor="accent6"/>
            </w:tcBorders>
            <w:vAlign w:val="center"/>
          </w:tcPr>
          <w:p w14:paraId="0A483D4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06298F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19317F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37894180" w14:textId="77777777" w:rsidTr="00905FBC">
        <w:trPr>
          <w:trHeight w:val="337"/>
        </w:trPr>
        <w:tc>
          <w:tcPr>
            <w:tcW w:w="739" w:type="dxa"/>
            <w:vMerge/>
            <w:shd w:val="clear" w:color="auto" w:fill="436E91" w:themeFill="accent1"/>
            <w:vAlign w:val="center"/>
          </w:tcPr>
          <w:p w14:paraId="13F8830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3FC6BE04"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tcBorders>
              <w:top w:val="dotted" w:sz="12" w:space="0" w:color="A2C037" w:themeColor="accent6"/>
              <w:bottom w:val="dotted" w:sz="12" w:space="0" w:color="A2C037" w:themeColor="accent6"/>
            </w:tcBorders>
            <w:vAlign w:val="center"/>
          </w:tcPr>
          <w:p w14:paraId="4674749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7CA8EC1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77518A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623F757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5EA46E36" w14:textId="77777777" w:rsidTr="00905FBC">
        <w:tc>
          <w:tcPr>
            <w:tcW w:w="739" w:type="dxa"/>
            <w:vMerge/>
            <w:tcBorders>
              <w:bottom w:val="double" w:sz="4" w:space="0" w:color="A2C037" w:themeColor="accent6"/>
            </w:tcBorders>
            <w:shd w:val="clear" w:color="auto" w:fill="436E91" w:themeFill="accent1"/>
            <w:vAlign w:val="center"/>
          </w:tcPr>
          <w:p w14:paraId="27A28FFC"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227A9123"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2721" w:type="dxa"/>
            <w:tcBorders>
              <w:top w:val="dotted" w:sz="12" w:space="0" w:color="A2C037" w:themeColor="accent6"/>
              <w:bottom w:val="double" w:sz="4" w:space="0" w:color="A2C037" w:themeColor="accent6"/>
            </w:tcBorders>
            <w:vAlign w:val="center"/>
          </w:tcPr>
          <w:p w14:paraId="531EB65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5C46248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09F3879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2CFA6F20" w14:textId="77777777" w:rsidR="006B47A3" w:rsidRDefault="006B47A3" w:rsidP="009E14A7">
      <w:pPr>
        <w:keepLines/>
        <w:widowControl w:val="0"/>
        <w:spacing w:before="120"/>
        <w:ind w:left="284"/>
        <w:jc w:val="center"/>
        <w:rPr>
          <w:szCs w:val="22"/>
        </w:rPr>
      </w:pPr>
    </w:p>
    <w:p w14:paraId="2678BB34" w14:textId="0CDF0977"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3"/>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BAAE6" w14:textId="77777777" w:rsidR="003460F3" w:rsidRDefault="003460F3">
      <w:r>
        <w:separator/>
      </w:r>
    </w:p>
  </w:endnote>
  <w:endnote w:type="continuationSeparator" w:id="0">
    <w:p w14:paraId="1DF043EB" w14:textId="77777777" w:rsidR="003460F3" w:rsidRDefault="00346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0CD08A82" w:rsidR="008B7F90" w:rsidRDefault="008B7F90">
    <w:pPr>
      <w:pStyle w:val="Pieddepage"/>
      <w:framePr w:w="576" w:wrap="auto" w:vAnchor="page" w:hAnchor="page" w:x="1" w:y="16161"/>
      <w:jc w:val="right"/>
      <w:rPr>
        <w:rStyle w:val="Numrodepage"/>
      </w:rPr>
    </w:pPr>
  </w:p>
  <w:p w14:paraId="546BA793" w14:textId="46EF1A8A" w:rsidR="008B7F90" w:rsidRDefault="008B7F90"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4EDF462C" w:rsidR="008B7F90" w:rsidRPr="007D72E3" w:rsidRDefault="008B7F90" w:rsidP="007D72E3">
    <w:pPr>
      <w:pStyle w:val="Pieddepage"/>
      <w:widowControl w:val="0"/>
      <w:jc w:val="center"/>
      <w:rPr>
        <w:rFonts w:cs="Arial"/>
        <w:szCs w:val="22"/>
      </w:rPr>
    </w:pPr>
    <w:bookmarkStart w:id="24"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4"/>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C7591C">
      <w:rPr>
        <w:noProof/>
        <w:szCs w:val="22"/>
      </w:rPr>
      <w:t>8</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EB48" w14:textId="77777777" w:rsidR="008B7F90" w:rsidRDefault="008B7F90">
    <w:pPr>
      <w:pStyle w:val="Pieddepage"/>
      <w:framePr w:w="576" w:wrap="around" w:vAnchor="page" w:hAnchor="page" w:x="1" w:y="16161"/>
      <w:ind w:firstLine="360"/>
      <w:jc w:val="right"/>
      <w:rPr>
        <w:rStyle w:val="Numrodepage"/>
      </w:rPr>
    </w:pPr>
  </w:p>
  <w:p w14:paraId="7A5B0829" w14:textId="04C07C0E" w:rsidR="008B7F90" w:rsidRDefault="008B7F90"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Pr="00D3453B">
      <w:rPr>
        <w:rFonts w:cs="Arial"/>
        <w:szCs w:val="22"/>
      </w:rPr>
      <w:t>Le Sénat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8B7F90" w:rsidRDefault="008B7F90">
    <w:pPr>
      <w:pStyle w:val="Pieddepage"/>
      <w:framePr w:w="576" w:wrap="around" w:vAnchor="page" w:hAnchor="page" w:x="1" w:y="16161"/>
      <w:ind w:firstLine="360"/>
      <w:jc w:val="right"/>
      <w:rPr>
        <w:rStyle w:val="Numrodepage"/>
      </w:rPr>
    </w:pPr>
  </w:p>
  <w:p w14:paraId="01B9FC2C" w14:textId="7974862F" w:rsidR="008B7F90" w:rsidRDefault="008B7F90" w:rsidP="00934F3A">
    <w:pPr>
      <w:pStyle w:val="Pieddepage"/>
      <w:widowControl w:val="0"/>
      <w:jc w:val="center"/>
      <w:rPr>
        <w:sz w:val="18"/>
      </w:rPr>
    </w:pPr>
    <w:bookmarkStart w:id="26"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C7591C">
      <w:rPr>
        <w:noProof/>
        <w:szCs w:val="22"/>
      </w:rPr>
      <w:t>1</w:t>
    </w:r>
    <w:r w:rsidRPr="00B21893">
      <w:rPr>
        <w:szCs w:val="22"/>
      </w:rPr>
      <w:fldChar w:fldCharType="end"/>
    </w:r>
    <w:bookmarkEnd w:id="26"/>
    <w:r w:rsidRPr="00A62D99">
      <w:rPr>
        <w:rFonts w:cs="Arial"/>
        <w:szCs w:val="22"/>
      </w:rPr>
      <w:br/>
    </w:r>
    <w:r w:rsidRPr="00D3453B">
      <w:rPr>
        <w:rFonts w:cs="Arial"/>
        <w:szCs w:val="22"/>
      </w:rPr>
      <w:t>Le Sénat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4593" w14:textId="15A30037" w:rsidR="008B7F90" w:rsidRDefault="008B7F90">
    <w:pPr>
      <w:pStyle w:val="Pieddepage"/>
      <w:framePr w:w="576" w:wrap="around" w:vAnchor="page" w:hAnchor="page" w:x="1" w:y="16161"/>
      <w:ind w:firstLine="360"/>
      <w:jc w:val="right"/>
      <w:rPr>
        <w:rStyle w:val="Numrodepage"/>
      </w:rPr>
    </w:pPr>
  </w:p>
  <w:p w14:paraId="24743C57" w14:textId="0F5AE477" w:rsidR="008B7F90" w:rsidRPr="009E031D" w:rsidRDefault="008B7F90"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C7591C">
      <w:rPr>
        <w:noProof/>
        <w:szCs w:val="22"/>
      </w:rPr>
      <w:t>2</w:t>
    </w:r>
    <w:r w:rsidRPr="009E031D">
      <w:rPr>
        <w:szCs w:val="22"/>
      </w:rPr>
      <w:fldChar w:fldCharType="end"/>
    </w:r>
    <w:r>
      <w:rPr>
        <w:szCs w:val="22"/>
      </w:rPr>
      <w:br/>
    </w:r>
    <w:r w:rsidRPr="00D3453B">
      <w:rPr>
        <w:rFonts w:cs="Arial"/>
        <w:szCs w:val="22"/>
      </w:rPr>
      <w:t>Le Sénat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F5924" w14:textId="77777777" w:rsidR="003460F3" w:rsidRDefault="003460F3">
      <w:r>
        <w:separator/>
      </w:r>
    </w:p>
  </w:footnote>
  <w:footnote w:type="continuationSeparator" w:id="0">
    <w:p w14:paraId="0FB45F53" w14:textId="77777777" w:rsidR="003460F3" w:rsidRDefault="00346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0"/>
  </w:num>
  <w:num w:numId="3">
    <w:abstractNumId w:val="3"/>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7"/>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num>
  <w:num w:numId="13">
    <w:abstractNumId w:val="8"/>
  </w:num>
  <w:num w:numId="14">
    <w:abstractNumId w:val="5"/>
  </w:num>
  <w:num w:numId="15">
    <w:abstractNumId w:val="18"/>
  </w:num>
  <w:num w:numId="16">
    <w:abstractNumId w:val="17"/>
  </w:num>
  <w:num w:numId="17">
    <w:abstractNumId w:val="15"/>
  </w:num>
  <w:num w:numId="18">
    <w:abstractNumId w:val="19"/>
  </w:num>
  <w:num w:numId="19">
    <w:abstractNumId w:val="9"/>
  </w:num>
  <w:num w:numId="20">
    <w:abstractNumId w:val="13"/>
  </w:num>
  <w:num w:numId="21">
    <w:abstractNumId w:val="11"/>
  </w:num>
  <w:num w:numId="22">
    <w:abstractNumId w:val="12"/>
  </w:num>
  <w:num w:numId="23">
    <w:abstractNumId w:val="0"/>
  </w:num>
  <w:num w:numId="2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170"/>
    <w:rsid w:val="0001374F"/>
    <w:rsid w:val="00015EA1"/>
    <w:rsid w:val="00024759"/>
    <w:rsid w:val="00024B05"/>
    <w:rsid w:val="00024CFB"/>
    <w:rsid w:val="0002608F"/>
    <w:rsid w:val="000315F4"/>
    <w:rsid w:val="000319D6"/>
    <w:rsid w:val="00037938"/>
    <w:rsid w:val="00041F5A"/>
    <w:rsid w:val="00046B0A"/>
    <w:rsid w:val="00050561"/>
    <w:rsid w:val="0005352B"/>
    <w:rsid w:val="00055926"/>
    <w:rsid w:val="00056C6F"/>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B6BB4"/>
    <w:rsid w:val="000C5CA5"/>
    <w:rsid w:val="000C72A6"/>
    <w:rsid w:val="000D0B64"/>
    <w:rsid w:val="000D10B7"/>
    <w:rsid w:val="000D134C"/>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7D4"/>
    <w:rsid w:val="00131D9C"/>
    <w:rsid w:val="001333F1"/>
    <w:rsid w:val="00133CB5"/>
    <w:rsid w:val="00152955"/>
    <w:rsid w:val="00154A3D"/>
    <w:rsid w:val="001550EB"/>
    <w:rsid w:val="00156069"/>
    <w:rsid w:val="001616E5"/>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D0F78"/>
    <w:rsid w:val="001D39A3"/>
    <w:rsid w:val="001D7F10"/>
    <w:rsid w:val="001F106C"/>
    <w:rsid w:val="001F1DC2"/>
    <w:rsid w:val="001F1DE4"/>
    <w:rsid w:val="001F25B6"/>
    <w:rsid w:val="00211941"/>
    <w:rsid w:val="00216EF6"/>
    <w:rsid w:val="0022035D"/>
    <w:rsid w:val="002212AF"/>
    <w:rsid w:val="0022264E"/>
    <w:rsid w:val="00222E0B"/>
    <w:rsid w:val="00230E21"/>
    <w:rsid w:val="00240432"/>
    <w:rsid w:val="00245DFC"/>
    <w:rsid w:val="0025085E"/>
    <w:rsid w:val="002625A8"/>
    <w:rsid w:val="002641C2"/>
    <w:rsid w:val="00265D9F"/>
    <w:rsid w:val="00270F32"/>
    <w:rsid w:val="002756F1"/>
    <w:rsid w:val="0028063C"/>
    <w:rsid w:val="002812FA"/>
    <w:rsid w:val="002901AC"/>
    <w:rsid w:val="00291A5A"/>
    <w:rsid w:val="00292DE3"/>
    <w:rsid w:val="002941D9"/>
    <w:rsid w:val="002978C6"/>
    <w:rsid w:val="002A0312"/>
    <w:rsid w:val="002A144B"/>
    <w:rsid w:val="002A1739"/>
    <w:rsid w:val="002A1CCC"/>
    <w:rsid w:val="002A345D"/>
    <w:rsid w:val="002B5993"/>
    <w:rsid w:val="002C1B13"/>
    <w:rsid w:val="002C1FCB"/>
    <w:rsid w:val="002D0103"/>
    <w:rsid w:val="002D3D08"/>
    <w:rsid w:val="002D5AD3"/>
    <w:rsid w:val="002D6A05"/>
    <w:rsid w:val="002E0A87"/>
    <w:rsid w:val="002E3D78"/>
    <w:rsid w:val="002F0365"/>
    <w:rsid w:val="002F2E70"/>
    <w:rsid w:val="002F77C1"/>
    <w:rsid w:val="0030248F"/>
    <w:rsid w:val="00312771"/>
    <w:rsid w:val="00313BBC"/>
    <w:rsid w:val="00314304"/>
    <w:rsid w:val="00316B91"/>
    <w:rsid w:val="0031722E"/>
    <w:rsid w:val="00320AE7"/>
    <w:rsid w:val="003213E9"/>
    <w:rsid w:val="00323A4A"/>
    <w:rsid w:val="0033437E"/>
    <w:rsid w:val="00335E0A"/>
    <w:rsid w:val="00341600"/>
    <w:rsid w:val="003436F9"/>
    <w:rsid w:val="0034495A"/>
    <w:rsid w:val="00345ABC"/>
    <w:rsid w:val="003460F3"/>
    <w:rsid w:val="003460F7"/>
    <w:rsid w:val="00346431"/>
    <w:rsid w:val="00350AB8"/>
    <w:rsid w:val="003516FC"/>
    <w:rsid w:val="00354C7A"/>
    <w:rsid w:val="0035552A"/>
    <w:rsid w:val="00360557"/>
    <w:rsid w:val="00372C8D"/>
    <w:rsid w:val="00373AA6"/>
    <w:rsid w:val="00375DE1"/>
    <w:rsid w:val="00380C00"/>
    <w:rsid w:val="003943F4"/>
    <w:rsid w:val="00395935"/>
    <w:rsid w:val="003976E3"/>
    <w:rsid w:val="003A0DDF"/>
    <w:rsid w:val="003A1061"/>
    <w:rsid w:val="003A15A6"/>
    <w:rsid w:val="003A725F"/>
    <w:rsid w:val="003B2F92"/>
    <w:rsid w:val="003B5D29"/>
    <w:rsid w:val="003B69F2"/>
    <w:rsid w:val="003B6B34"/>
    <w:rsid w:val="003B7586"/>
    <w:rsid w:val="003C1632"/>
    <w:rsid w:val="003D04AC"/>
    <w:rsid w:val="003D46C2"/>
    <w:rsid w:val="003D491E"/>
    <w:rsid w:val="003D669C"/>
    <w:rsid w:val="003D77D5"/>
    <w:rsid w:val="003E537D"/>
    <w:rsid w:val="003E7A0E"/>
    <w:rsid w:val="003F0A7B"/>
    <w:rsid w:val="003F3126"/>
    <w:rsid w:val="003F4768"/>
    <w:rsid w:val="00400286"/>
    <w:rsid w:val="00403ABC"/>
    <w:rsid w:val="00406A44"/>
    <w:rsid w:val="0041211F"/>
    <w:rsid w:val="0041255F"/>
    <w:rsid w:val="00413FBE"/>
    <w:rsid w:val="00414200"/>
    <w:rsid w:val="00414CEF"/>
    <w:rsid w:val="004173BC"/>
    <w:rsid w:val="00417991"/>
    <w:rsid w:val="00417CA4"/>
    <w:rsid w:val="00421011"/>
    <w:rsid w:val="00432AC0"/>
    <w:rsid w:val="0044518D"/>
    <w:rsid w:val="00450619"/>
    <w:rsid w:val="00450BAA"/>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910D5"/>
    <w:rsid w:val="00493C32"/>
    <w:rsid w:val="00496B32"/>
    <w:rsid w:val="00496D9B"/>
    <w:rsid w:val="00497DD5"/>
    <w:rsid w:val="004A1A14"/>
    <w:rsid w:val="004A3C3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3938"/>
    <w:rsid w:val="004F6FE1"/>
    <w:rsid w:val="00500BE1"/>
    <w:rsid w:val="0050585C"/>
    <w:rsid w:val="00512E06"/>
    <w:rsid w:val="005228DA"/>
    <w:rsid w:val="00523E8B"/>
    <w:rsid w:val="00524396"/>
    <w:rsid w:val="0053001E"/>
    <w:rsid w:val="005320CA"/>
    <w:rsid w:val="00532A66"/>
    <w:rsid w:val="00532B57"/>
    <w:rsid w:val="005339B9"/>
    <w:rsid w:val="00540C6B"/>
    <w:rsid w:val="00542BF8"/>
    <w:rsid w:val="005572E7"/>
    <w:rsid w:val="005577D1"/>
    <w:rsid w:val="00557A63"/>
    <w:rsid w:val="005616A1"/>
    <w:rsid w:val="005666D3"/>
    <w:rsid w:val="005668B1"/>
    <w:rsid w:val="00566986"/>
    <w:rsid w:val="00582B43"/>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4881"/>
    <w:rsid w:val="005D5F88"/>
    <w:rsid w:val="005D63FA"/>
    <w:rsid w:val="005D69C2"/>
    <w:rsid w:val="005D73EF"/>
    <w:rsid w:val="005E1B91"/>
    <w:rsid w:val="005E4A39"/>
    <w:rsid w:val="005E78B2"/>
    <w:rsid w:val="005F1ECF"/>
    <w:rsid w:val="005F467C"/>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A1049"/>
    <w:rsid w:val="006A127F"/>
    <w:rsid w:val="006A4DF9"/>
    <w:rsid w:val="006B3EDA"/>
    <w:rsid w:val="006B4180"/>
    <w:rsid w:val="006B47A3"/>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7CAB"/>
    <w:rsid w:val="00715D3E"/>
    <w:rsid w:val="00723F5E"/>
    <w:rsid w:val="0072638C"/>
    <w:rsid w:val="00741F33"/>
    <w:rsid w:val="007421FF"/>
    <w:rsid w:val="0075387E"/>
    <w:rsid w:val="00753FF1"/>
    <w:rsid w:val="00761108"/>
    <w:rsid w:val="00763B7F"/>
    <w:rsid w:val="00763ECF"/>
    <w:rsid w:val="00764556"/>
    <w:rsid w:val="00765D72"/>
    <w:rsid w:val="0076606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A0D63"/>
    <w:rsid w:val="007A3EB3"/>
    <w:rsid w:val="007B1EFB"/>
    <w:rsid w:val="007B51D6"/>
    <w:rsid w:val="007B7BAF"/>
    <w:rsid w:val="007C6FBC"/>
    <w:rsid w:val="007C75EF"/>
    <w:rsid w:val="007D0340"/>
    <w:rsid w:val="007D171B"/>
    <w:rsid w:val="007D3A87"/>
    <w:rsid w:val="007D5764"/>
    <w:rsid w:val="007D68CF"/>
    <w:rsid w:val="007D6CE5"/>
    <w:rsid w:val="007D72E3"/>
    <w:rsid w:val="007E21DF"/>
    <w:rsid w:val="007E3D06"/>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6101B"/>
    <w:rsid w:val="00865246"/>
    <w:rsid w:val="00865AE6"/>
    <w:rsid w:val="008672F6"/>
    <w:rsid w:val="008701BE"/>
    <w:rsid w:val="00871DB5"/>
    <w:rsid w:val="0088229C"/>
    <w:rsid w:val="00884F86"/>
    <w:rsid w:val="00890AD9"/>
    <w:rsid w:val="00893E9F"/>
    <w:rsid w:val="00893EE9"/>
    <w:rsid w:val="00893F96"/>
    <w:rsid w:val="008B171B"/>
    <w:rsid w:val="008B3425"/>
    <w:rsid w:val="008B37DF"/>
    <w:rsid w:val="008B4E2A"/>
    <w:rsid w:val="008B7F90"/>
    <w:rsid w:val="008C0D4F"/>
    <w:rsid w:val="008C115F"/>
    <w:rsid w:val="008C1695"/>
    <w:rsid w:val="008D2267"/>
    <w:rsid w:val="008D42E6"/>
    <w:rsid w:val="008E2D01"/>
    <w:rsid w:val="008F5608"/>
    <w:rsid w:val="008F5E26"/>
    <w:rsid w:val="008F62CC"/>
    <w:rsid w:val="00902F78"/>
    <w:rsid w:val="009054FF"/>
    <w:rsid w:val="00905FBC"/>
    <w:rsid w:val="0091371C"/>
    <w:rsid w:val="009201B0"/>
    <w:rsid w:val="00925532"/>
    <w:rsid w:val="00933208"/>
    <w:rsid w:val="00934567"/>
    <w:rsid w:val="00934F3A"/>
    <w:rsid w:val="009355CF"/>
    <w:rsid w:val="00935DC4"/>
    <w:rsid w:val="0094120D"/>
    <w:rsid w:val="00944077"/>
    <w:rsid w:val="009513C5"/>
    <w:rsid w:val="009524A8"/>
    <w:rsid w:val="0096126A"/>
    <w:rsid w:val="0096560A"/>
    <w:rsid w:val="0097063E"/>
    <w:rsid w:val="00970C9A"/>
    <w:rsid w:val="00975A95"/>
    <w:rsid w:val="00975E15"/>
    <w:rsid w:val="00981D92"/>
    <w:rsid w:val="00986D45"/>
    <w:rsid w:val="00990618"/>
    <w:rsid w:val="009A22DB"/>
    <w:rsid w:val="009B191D"/>
    <w:rsid w:val="009B308F"/>
    <w:rsid w:val="009B4793"/>
    <w:rsid w:val="009C5C2C"/>
    <w:rsid w:val="009C77D1"/>
    <w:rsid w:val="009D18D3"/>
    <w:rsid w:val="009D3920"/>
    <w:rsid w:val="009D456D"/>
    <w:rsid w:val="009E031D"/>
    <w:rsid w:val="009E134D"/>
    <w:rsid w:val="009E14A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91CE0"/>
    <w:rsid w:val="00A91E72"/>
    <w:rsid w:val="00A9433F"/>
    <w:rsid w:val="00AA1782"/>
    <w:rsid w:val="00AA7143"/>
    <w:rsid w:val="00AB386E"/>
    <w:rsid w:val="00AB5D86"/>
    <w:rsid w:val="00AB6556"/>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336D"/>
    <w:rsid w:val="00B200BD"/>
    <w:rsid w:val="00B20292"/>
    <w:rsid w:val="00B22DB4"/>
    <w:rsid w:val="00B302DA"/>
    <w:rsid w:val="00B32A4C"/>
    <w:rsid w:val="00B3534B"/>
    <w:rsid w:val="00B37C78"/>
    <w:rsid w:val="00B41F44"/>
    <w:rsid w:val="00B43EDC"/>
    <w:rsid w:val="00B5192A"/>
    <w:rsid w:val="00B52CF7"/>
    <w:rsid w:val="00B60650"/>
    <w:rsid w:val="00B60CEB"/>
    <w:rsid w:val="00B618F8"/>
    <w:rsid w:val="00B62A7F"/>
    <w:rsid w:val="00B71A5D"/>
    <w:rsid w:val="00B82A6D"/>
    <w:rsid w:val="00B82D76"/>
    <w:rsid w:val="00B83C04"/>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7591C"/>
    <w:rsid w:val="00C81A09"/>
    <w:rsid w:val="00C832A6"/>
    <w:rsid w:val="00C84DAB"/>
    <w:rsid w:val="00C85EC7"/>
    <w:rsid w:val="00C865D6"/>
    <w:rsid w:val="00C87E5F"/>
    <w:rsid w:val="00C90D95"/>
    <w:rsid w:val="00C9367F"/>
    <w:rsid w:val="00C96542"/>
    <w:rsid w:val="00C96977"/>
    <w:rsid w:val="00C97242"/>
    <w:rsid w:val="00C97E1C"/>
    <w:rsid w:val="00CA02C3"/>
    <w:rsid w:val="00CA036E"/>
    <w:rsid w:val="00CA2D62"/>
    <w:rsid w:val="00CB0665"/>
    <w:rsid w:val="00CB08F9"/>
    <w:rsid w:val="00CB23A4"/>
    <w:rsid w:val="00CB44C0"/>
    <w:rsid w:val="00CB6AB8"/>
    <w:rsid w:val="00CB6B12"/>
    <w:rsid w:val="00CB7BD7"/>
    <w:rsid w:val="00CC0CAD"/>
    <w:rsid w:val="00CD2736"/>
    <w:rsid w:val="00CD3E33"/>
    <w:rsid w:val="00CE1175"/>
    <w:rsid w:val="00CE2FE1"/>
    <w:rsid w:val="00CE4729"/>
    <w:rsid w:val="00CE4B01"/>
    <w:rsid w:val="00CF154E"/>
    <w:rsid w:val="00CF341F"/>
    <w:rsid w:val="00CF381B"/>
    <w:rsid w:val="00CF6571"/>
    <w:rsid w:val="00D02CC7"/>
    <w:rsid w:val="00D06A2A"/>
    <w:rsid w:val="00D110F8"/>
    <w:rsid w:val="00D22361"/>
    <w:rsid w:val="00D23F74"/>
    <w:rsid w:val="00D24B73"/>
    <w:rsid w:val="00D2557F"/>
    <w:rsid w:val="00D30636"/>
    <w:rsid w:val="00D310CD"/>
    <w:rsid w:val="00D33024"/>
    <w:rsid w:val="00D34E77"/>
    <w:rsid w:val="00D42BD1"/>
    <w:rsid w:val="00D44671"/>
    <w:rsid w:val="00D461BF"/>
    <w:rsid w:val="00D5341D"/>
    <w:rsid w:val="00D53598"/>
    <w:rsid w:val="00D559DC"/>
    <w:rsid w:val="00D57E20"/>
    <w:rsid w:val="00D6091B"/>
    <w:rsid w:val="00D6170F"/>
    <w:rsid w:val="00D626BC"/>
    <w:rsid w:val="00D62924"/>
    <w:rsid w:val="00D62BC8"/>
    <w:rsid w:val="00D648C7"/>
    <w:rsid w:val="00D67A18"/>
    <w:rsid w:val="00D724C5"/>
    <w:rsid w:val="00D81AA0"/>
    <w:rsid w:val="00D875C4"/>
    <w:rsid w:val="00D917BB"/>
    <w:rsid w:val="00D93B6B"/>
    <w:rsid w:val="00DA3C10"/>
    <w:rsid w:val="00DA7BDB"/>
    <w:rsid w:val="00DB3345"/>
    <w:rsid w:val="00DC4697"/>
    <w:rsid w:val="00DC4B26"/>
    <w:rsid w:val="00DC50FA"/>
    <w:rsid w:val="00DC6832"/>
    <w:rsid w:val="00DC6F26"/>
    <w:rsid w:val="00DD5574"/>
    <w:rsid w:val="00DD75C1"/>
    <w:rsid w:val="00DE062A"/>
    <w:rsid w:val="00DE4E99"/>
    <w:rsid w:val="00DE6592"/>
    <w:rsid w:val="00DE6E66"/>
    <w:rsid w:val="00DF1B14"/>
    <w:rsid w:val="00DF1B88"/>
    <w:rsid w:val="00DF2629"/>
    <w:rsid w:val="00DF4564"/>
    <w:rsid w:val="00DF67B2"/>
    <w:rsid w:val="00E05CD1"/>
    <w:rsid w:val="00E137BA"/>
    <w:rsid w:val="00E32119"/>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6D18"/>
    <w:rsid w:val="00ED0749"/>
    <w:rsid w:val="00ED7CB5"/>
    <w:rsid w:val="00EE001A"/>
    <w:rsid w:val="00EE260A"/>
    <w:rsid w:val="00EE3024"/>
    <w:rsid w:val="00EE339D"/>
    <w:rsid w:val="00EE34A7"/>
    <w:rsid w:val="00EE635A"/>
    <w:rsid w:val="00EF0AB0"/>
    <w:rsid w:val="00EF0C82"/>
    <w:rsid w:val="00EF54DB"/>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6068A"/>
    <w:rsid w:val="00F7428A"/>
    <w:rsid w:val="00F758B6"/>
    <w:rsid w:val="00F85577"/>
    <w:rsid w:val="00F927B3"/>
    <w:rsid w:val="00F9437D"/>
    <w:rsid w:val="00FA19D5"/>
    <w:rsid w:val="00FA24B6"/>
    <w:rsid w:val="00FA79F1"/>
    <w:rsid w:val="00FB4026"/>
    <w:rsid w:val="00FC32D3"/>
    <w:rsid w:val="00FC3E3C"/>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 w:val="00FF7E1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7EB15-BDDA-48C1-9D38-CB9378180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2890</Words>
  <Characters>15299</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18153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Geoffroy LAURIN</cp:lastModifiedBy>
  <cp:revision>31</cp:revision>
  <cp:lastPrinted>2020-02-03T14:28:00Z</cp:lastPrinted>
  <dcterms:created xsi:type="dcterms:W3CDTF">2025-03-14T07:54:00Z</dcterms:created>
  <dcterms:modified xsi:type="dcterms:W3CDTF">2025-06-24T08:51:00Z</dcterms:modified>
</cp:coreProperties>
</file>